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81" w:rsidRPr="007F7841" w:rsidRDefault="00D14581" w:rsidP="00D14581">
      <w:pPr>
        <w:spacing w:before="480"/>
        <w:rPr>
          <w:b/>
          <w:bCs/>
          <w:noProof/>
          <w:sz w:val="20"/>
          <w:szCs w:val="20"/>
          <w:lang w:val="bg-BG"/>
        </w:rPr>
      </w:pPr>
      <w:bookmarkStart w:id="0" w:name="_Toc445988882"/>
      <w:bookmarkStart w:id="1" w:name="_Toc443984836"/>
      <w:r>
        <w:rPr>
          <w:b/>
          <w:bCs/>
          <w:noProof/>
          <w:sz w:val="20"/>
          <w:szCs w:val="20"/>
          <w:lang w:val="bg-BG"/>
        </w:rPr>
        <w:t>УТВЪРДИЛ</w:t>
      </w:r>
      <w:r w:rsidRPr="007F7841">
        <w:rPr>
          <w:b/>
          <w:bCs/>
          <w:noProof/>
          <w:sz w:val="20"/>
          <w:szCs w:val="20"/>
          <w:lang w:val="bg-BG"/>
        </w:rPr>
        <w:t>:______________</w:t>
      </w:r>
    </w:p>
    <w:p w:rsidR="00D14581" w:rsidRPr="007F7841" w:rsidRDefault="00D14581" w:rsidP="00D14581">
      <w:pPr>
        <w:rPr>
          <w:b/>
          <w:bCs/>
          <w:noProof/>
          <w:sz w:val="20"/>
          <w:szCs w:val="20"/>
          <w:lang w:val="bg-BG"/>
        </w:rPr>
      </w:pPr>
      <w:r w:rsidRPr="007F7841">
        <w:rPr>
          <w:b/>
          <w:bCs/>
          <w:noProof/>
          <w:sz w:val="20"/>
          <w:szCs w:val="20"/>
          <w:lang w:val="bg-BG"/>
        </w:rPr>
        <w:t>ДИМИТЪР БРЪЧКОВ</w:t>
      </w:r>
    </w:p>
    <w:p w:rsidR="00D14581" w:rsidRPr="007F7841" w:rsidRDefault="00D14581" w:rsidP="00D14581">
      <w:pPr>
        <w:rPr>
          <w:b/>
          <w:bCs/>
          <w:noProof/>
          <w:sz w:val="20"/>
          <w:szCs w:val="20"/>
          <w:lang w:val="bg-BG"/>
        </w:rPr>
      </w:pPr>
      <w:r w:rsidRPr="007F7841">
        <w:rPr>
          <w:b/>
          <w:bCs/>
          <w:noProof/>
          <w:sz w:val="20"/>
          <w:szCs w:val="20"/>
          <w:lang w:val="bg-BG"/>
        </w:rPr>
        <w:t>КМЕТ на ОБЩИНА ПЕТРИЧ</w:t>
      </w:r>
    </w:p>
    <w:p w:rsidR="004E237E" w:rsidRPr="00BE2E58" w:rsidRDefault="004E237E" w:rsidP="00D50DB9">
      <w:pPr>
        <w:spacing w:before="480" w:after="240"/>
        <w:jc w:val="center"/>
        <w:rPr>
          <w:b/>
          <w:bCs/>
          <w:noProof/>
          <w:sz w:val="22"/>
          <w:szCs w:val="22"/>
          <w:lang w:val="bg-BG"/>
        </w:rPr>
      </w:pPr>
      <w:r w:rsidRPr="00BE2E58">
        <w:rPr>
          <w:b/>
          <w:bCs/>
          <w:noProof/>
          <w:sz w:val="22"/>
          <w:szCs w:val="22"/>
          <w:lang w:val="bg-BG"/>
        </w:rPr>
        <w:t>ТЕХНИЧЕСКИ СПЕЦИФИКАЦИИ</w:t>
      </w:r>
      <w:bookmarkEnd w:id="0"/>
    </w:p>
    <w:p w:rsidR="006D0F0F" w:rsidRPr="00BE2E58" w:rsidRDefault="006D0F0F" w:rsidP="00E45E3F">
      <w:pPr>
        <w:spacing w:before="60"/>
        <w:ind w:firstLine="567"/>
        <w:jc w:val="both"/>
        <w:rPr>
          <w:sz w:val="22"/>
          <w:szCs w:val="22"/>
          <w:lang w:val="bg-BG"/>
        </w:rPr>
      </w:pPr>
      <w:r w:rsidRPr="00BE2E58">
        <w:rPr>
          <w:sz w:val="22"/>
          <w:szCs w:val="22"/>
          <w:lang w:val="bg-BG"/>
        </w:rPr>
        <w:t>Настоящият документ пре</w:t>
      </w:r>
      <w:r w:rsidR="00BE2E58" w:rsidRPr="00BE2E58">
        <w:rPr>
          <w:sz w:val="22"/>
          <w:szCs w:val="22"/>
          <w:lang w:val="bg-BG"/>
        </w:rPr>
        <w:t>дставлява „технически спецификаци</w:t>
      </w:r>
      <w:r w:rsidRPr="00BE2E58">
        <w:rPr>
          <w:sz w:val="22"/>
          <w:szCs w:val="22"/>
          <w:lang w:val="bg-BG"/>
        </w:rPr>
        <w:t>и“ по смисъла на § 2, т. 54 от ДР на ЗОП</w:t>
      </w:r>
      <w:r w:rsidR="00E45E3F" w:rsidRPr="00BE2E58">
        <w:rPr>
          <w:sz w:val="22"/>
          <w:szCs w:val="22"/>
          <w:lang w:val="bg-BG"/>
        </w:rPr>
        <w:t xml:space="preserve"> </w:t>
      </w:r>
      <w:r w:rsidRPr="00BE2E58">
        <w:rPr>
          <w:sz w:val="22"/>
          <w:szCs w:val="22"/>
          <w:lang w:val="bg-BG"/>
        </w:rPr>
        <w:t>в който се определят изисквани</w:t>
      </w:r>
      <w:r w:rsidR="00E45E3F" w:rsidRPr="00BE2E58">
        <w:rPr>
          <w:sz w:val="22"/>
          <w:szCs w:val="22"/>
          <w:lang w:val="bg-BG"/>
        </w:rPr>
        <w:t>я</w:t>
      </w:r>
      <w:r w:rsidRPr="00BE2E58">
        <w:rPr>
          <w:sz w:val="22"/>
          <w:szCs w:val="22"/>
          <w:lang w:val="bg-BG"/>
        </w:rPr>
        <w:t>т</w:t>
      </w:r>
      <w:r w:rsidR="00E45E3F" w:rsidRPr="00BE2E58">
        <w:rPr>
          <w:sz w:val="22"/>
          <w:szCs w:val="22"/>
          <w:lang w:val="bg-BG"/>
        </w:rPr>
        <w:t>а на възложителя относно</w:t>
      </w:r>
      <w:r w:rsidRPr="00BE2E58">
        <w:rPr>
          <w:sz w:val="22"/>
          <w:szCs w:val="22"/>
          <w:lang w:val="bg-BG"/>
        </w:rPr>
        <w:t xml:space="preserve"> характеристики на услугата, като</w:t>
      </w:r>
      <w:r w:rsidR="00E45E3F" w:rsidRPr="00BE2E58">
        <w:rPr>
          <w:sz w:val="22"/>
          <w:szCs w:val="22"/>
          <w:lang w:val="bg-BG"/>
        </w:rPr>
        <w:t xml:space="preserve"> </w:t>
      </w:r>
      <w:r w:rsidRPr="00BE2E58">
        <w:rPr>
          <w:sz w:val="22"/>
          <w:szCs w:val="22"/>
          <w:lang w:val="bg-BG"/>
        </w:rPr>
        <w:t>равнище на качество, ниво на изпълнение спрямо изискванията за опазване на околната среда и климата, проектиране, което да отговаря на всички изисквания (включително достъп за хора с увреждания) и оценяване на съответствието, работни характеристики, приложение на продукта, безопасност или размери, включително съотносими към продукта изисквания по отношение на наименованието, под което се продава, терминология, символи, изпитване и методи на изпитване,</w:t>
      </w:r>
      <w:r w:rsidR="00E45E3F" w:rsidRPr="00BE2E58">
        <w:rPr>
          <w:sz w:val="22"/>
          <w:szCs w:val="22"/>
          <w:lang w:val="bg-BG"/>
        </w:rPr>
        <w:t xml:space="preserve"> </w:t>
      </w:r>
      <w:r w:rsidRPr="00BE2E58">
        <w:rPr>
          <w:sz w:val="22"/>
          <w:szCs w:val="22"/>
          <w:lang w:val="bg-BG"/>
        </w:rPr>
        <w:t xml:space="preserve">опаковане, маркиране и етикетиране, инструкции за употреба, производствени процеси и </w:t>
      </w:r>
      <w:r w:rsidR="00E45E3F" w:rsidRPr="00BE2E58">
        <w:rPr>
          <w:sz w:val="22"/>
          <w:szCs w:val="22"/>
          <w:lang w:val="bg-BG"/>
        </w:rPr>
        <w:t>м</w:t>
      </w:r>
      <w:r w:rsidRPr="00BE2E58">
        <w:rPr>
          <w:sz w:val="22"/>
          <w:szCs w:val="22"/>
          <w:lang w:val="bg-BG"/>
        </w:rPr>
        <w:t>етоди</w:t>
      </w:r>
      <w:r w:rsidR="00E45E3F" w:rsidRPr="00BE2E58">
        <w:rPr>
          <w:sz w:val="22"/>
          <w:szCs w:val="22"/>
          <w:lang w:val="bg-BG"/>
        </w:rPr>
        <w:t xml:space="preserve"> </w:t>
      </w:r>
      <w:r w:rsidRPr="00BE2E58">
        <w:rPr>
          <w:sz w:val="22"/>
          <w:szCs w:val="22"/>
          <w:lang w:val="bg-BG"/>
        </w:rPr>
        <w:t>на всеки етап от жизнения цикъл на доставката или услугата и процедури за оценяване на</w:t>
      </w:r>
      <w:r w:rsidR="00E45E3F" w:rsidRPr="00BE2E58">
        <w:rPr>
          <w:sz w:val="22"/>
          <w:szCs w:val="22"/>
          <w:lang w:val="bg-BG"/>
        </w:rPr>
        <w:t xml:space="preserve"> </w:t>
      </w:r>
      <w:r w:rsidRPr="00BE2E58">
        <w:rPr>
          <w:sz w:val="22"/>
          <w:szCs w:val="22"/>
          <w:lang w:val="bg-BG"/>
        </w:rPr>
        <w:t>съответствието</w:t>
      </w:r>
    </w:p>
    <w:p w:rsidR="00D50DB9" w:rsidRPr="00BE2E58" w:rsidRDefault="00E45E3F" w:rsidP="00347BEF">
      <w:pPr>
        <w:spacing w:before="60"/>
        <w:ind w:firstLine="567"/>
        <w:jc w:val="both"/>
        <w:rPr>
          <w:b/>
          <w:noProof/>
          <w:color w:val="FF0000"/>
          <w:sz w:val="22"/>
          <w:szCs w:val="22"/>
        </w:rPr>
      </w:pPr>
      <w:r w:rsidRPr="00BE2E58">
        <w:rPr>
          <w:noProof/>
          <w:sz w:val="22"/>
          <w:szCs w:val="22"/>
          <w:lang w:val="bg-BG"/>
        </w:rPr>
        <w:t>Спецификациите</w:t>
      </w:r>
      <w:r w:rsidR="00D50DB9" w:rsidRPr="00BE2E58">
        <w:rPr>
          <w:noProof/>
          <w:sz w:val="22"/>
          <w:szCs w:val="22"/>
          <w:lang w:val="bg-BG"/>
        </w:rPr>
        <w:t xml:space="preserve"> описват изискванията на възложителя относно обхвата, качеството и приемането на услугите в изп</w:t>
      </w:r>
      <w:r w:rsidR="00095C2B" w:rsidRPr="00BE2E58">
        <w:rPr>
          <w:noProof/>
          <w:sz w:val="22"/>
          <w:szCs w:val="22"/>
          <w:lang w:val="bg-BG"/>
        </w:rPr>
        <w:t xml:space="preserve">ълнение на обществената поръчка с предмет </w:t>
      </w:r>
      <w:r w:rsidR="00BE2E58" w:rsidRPr="00BE2E58">
        <w:rPr>
          <w:noProof/>
          <w:sz w:val="22"/>
          <w:szCs w:val="22"/>
          <w:lang w:val="bg-BG"/>
        </w:rPr>
        <w:t>„Проектиране на обреден  дом в  УПИ VI, кв. 178, гр. Петрич“.</w:t>
      </w:r>
    </w:p>
    <w:p w:rsidR="00BE2E58" w:rsidRPr="00BE2E58" w:rsidRDefault="00BE2E58" w:rsidP="00F517A7">
      <w:pPr>
        <w:spacing w:before="120"/>
        <w:ind w:firstLine="567"/>
        <w:jc w:val="both"/>
        <w:rPr>
          <w:color w:val="000000"/>
          <w:sz w:val="22"/>
          <w:szCs w:val="22"/>
          <w:lang w:val="bg-BG" w:eastAsia="bg-BG"/>
        </w:rPr>
      </w:pPr>
      <w:r w:rsidRPr="00BE2E58">
        <w:rPr>
          <w:color w:val="000000"/>
          <w:sz w:val="22"/>
          <w:szCs w:val="22"/>
          <w:lang w:val="bg-BG" w:eastAsia="bg-BG"/>
        </w:rPr>
        <w:t>Услугите включват изготвяне на  работни проекти по всички необходими проектни части, в съответствие със спецификата на обекта включен в предмета на поръчката,  съгласуване на проекта с компетентните институции.</w:t>
      </w:r>
    </w:p>
    <w:p w:rsidR="00BE2E58" w:rsidRDefault="00BE2E58" w:rsidP="00F517A7">
      <w:pPr>
        <w:spacing w:before="120"/>
        <w:ind w:firstLine="567"/>
        <w:jc w:val="both"/>
        <w:rPr>
          <w:color w:val="000000"/>
          <w:sz w:val="22"/>
          <w:szCs w:val="22"/>
          <w:lang w:val="bg-BG" w:eastAsia="bg-BG"/>
        </w:rPr>
      </w:pPr>
      <w:r w:rsidRPr="00BE2E58">
        <w:rPr>
          <w:color w:val="000000"/>
          <w:sz w:val="22"/>
          <w:szCs w:val="22"/>
          <w:lang w:val="bg-BG" w:eastAsia="bg-BG"/>
        </w:rPr>
        <w:t>Поръчката включва и всички други дейности, предвидени в ЗУТ, в технологичните правила и нормативи, или необходими за осигуряване на ефективен и качествен контрол при изпълнението на предмета на поръчката.</w:t>
      </w:r>
    </w:p>
    <w:p w:rsidR="00BE2E58" w:rsidRPr="00BE2E58" w:rsidRDefault="00942F7A" w:rsidP="00BE2E58">
      <w:pPr>
        <w:spacing w:before="120"/>
        <w:jc w:val="both"/>
        <w:rPr>
          <w:b/>
          <w:noProof/>
          <w:sz w:val="22"/>
          <w:szCs w:val="22"/>
          <w:lang w:val="bg-BG"/>
        </w:rPr>
      </w:pPr>
      <w:r>
        <w:rPr>
          <w:b/>
          <w:color w:val="000000"/>
          <w:sz w:val="22"/>
          <w:szCs w:val="22"/>
          <w:lang w:val="bg-BG" w:eastAsia="bg-BG"/>
        </w:rPr>
        <w:t>1.</w:t>
      </w:r>
      <w:r w:rsidR="00BE2E58" w:rsidRPr="00BE2E58">
        <w:rPr>
          <w:b/>
          <w:color w:val="000000"/>
          <w:sz w:val="22"/>
          <w:szCs w:val="22"/>
          <w:lang w:val="bg-BG" w:eastAsia="bg-BG"/>
        </w:rPr>
        <w:t>ПРИЛОЖИМА НОРМАТИВНА УРЕДБА:</w:t>
      </w:r>
    </w:p>
    <w:p w:rsidR="00BE2E58" w:rsidRPr="00BE2E58" w:rsidRDefault="00BE2E58" w:rsidP="00BE2E58">
      <w:pPr>
        <w:jc w:val="both"/>
        <w:rPr>
          <w:noProof/>
          <w:sz w:val="22"/>
          <w:szCs w:val="22"/>
          <w:lang w:val="bg-BG"/>
        </w:rPr>
      </w:pPr>
      <w:r w:rsidRPr="00BE2E58">
        <w:rPr>
          <w:noProof/>
          <w:sz w:val="22"/>
          <w:szCs w:val="22"/>
          <w:lang w:val="bg-BG"/>
        </w:rPr>
        <w:t>-</w:t>
      </w:r>
      <w:r w:rsidRPr="00BE2E58">
        <w:rPr>
          <w:noProof/>
          <w:sz w:val="22"/>
          <w:szCs w:val="22"/>
          <w:lang w:val="bg-BG"/>
        </w:rPr>
        <w:tab/>
        <w:t>Закон за устройство на територията</w:t>
      </w:r>
    </w:p>
    <w:p w:rsidR="00BE2E58" w:rsidRPr="00BE2E58" w:rsidRDefault="00BE2E58" w:rsidP="00BE2E58">
      <w:pPr>
        <w:jc w:val="both"/>
        <w:rPr>
          <w:noProof/>
          <w:sz w:val="22"/>
          <w:szCs w:val="22"/>
          <w:lang w:val="bg-BG"/>
        </w:rPr>
      </w:pPr>
      <w:r w:rsidRPr="00BE2E58">
        <w:rPr>
          <w:noProof/>
          <w:sz w:val="22"/>
          <w:szCs w:val="22"/>
          <w:lang w:val="bg-BG"/>
        </w:rPr>
        <w:t>-</w:t>
      </w:r>
      <w:r w:rsidRPr="00BE2E58">
        <w:rPr>
          <w:noProof/>
          <w:sz w:val="22"/>
          <w:szCs w:val="22"/>
          <w:lang w:val="bg-BG"/>
        </w:rPr>
        <w:tab/>
        <w:t>Наредба №7 за ПНУОВТУЗ</w:t>
      </w:r>
    </w:p>
    <w:p w:rsidR="00BE2E58" w:rsidRPr="00BE2E58" w:rsidRDefault="00BE2E58" w:rsidP="00BE2E58">
      <w:pPr>
        <w:jc w:val="both"/>
        <w:rPr>
          <w:noProof/>
          <w:sz w:val="22"/>
          <w:szCs w:val="22"/>
          <w:lang w:val="bg-BG"/>
        </w:rPr>
      </w:pPr>
      <w:r w:rsidRPr="00BE2E58">
        <w:rPr>
          <w:noProof/>
          <w:sz w:val="22"/>
          <w:szCs w:val="22"/>
          <w:lang w:val="bg-BG"/>
        </w:rPr>
        <w:t>-</w:t>
      </w:r>
      <w:r w:rsidRPr="00BE2E58">
        <w:rPr>
          <w:noProof/>
          <w:sz w:val="22"/>
          <w:szCs w:val="22"/>
          <w:lang w:val="bg-BG"/>
        </w:rPr>
        <w:tab/>
        <w:t xml:space="preserve">Наредба №4 за изграждане на достъпна среда </w:t>
      </w:r>
    </w:p>
    <w:p w:rsidR="00BE2E58" w:rsidRPr="00BE2E58" w:rsidRDefault="00BE2E58" w:rsidP="00BE2E58">
      <w:pPr>
        <w:jc w:val="both"/>
        <w:rPr>
          <w:noProof/>
          <w:sz w:val="22"/>
          <w:szCs w:val="22"/>
          <w:lang w:val="bg-BG"/>
        </w:rPr>
      </w:pPr>
      <w:r w:rsidRPr="00BE2E58">
        <w:rPr>
          <w:noProof/>
          <w:sz w:val="22"/>
          <w:szCs w:val="22"/>
          <w:lang w:val="bg-BG"/>
        </w:rPr>
        <w:t>-</w:t>
      </w:r>
      <w:r w:rsidRPr="00BE2E58">
        <w:rPr>
          <w:noProof/>
          <w:sz w:val="22"/>
          <w:szCs w:val="22"/>
          <w:lang w:val="bg-BG"/>
        </w:rPr>
        <w:tab/>
        <w:t>Наредба №2 за ППКТСУТ</w:t>
      </w:r>
    </w:p>
    <w:p w:rsidR="00BE2E58" w:rsidRPr="00BE2E58" w:rsidRDefault="00BE2E58" w:rsidP="00BE2E58">
      <w:pPr>
        <w:jc w:val="both"/>
        <w:rPr>
          <w:noProof/>
          <w:sz w:val="22"/>
          <w:szCs w:val="22"/>
          <w:lang w:val="bg-BG"/>
        </w:rPr>
      </w:pPr>
      <w:r w:rsidRPr="00BE2E58">
        <w:rPr>
          <w:noProof/>
          <w:sz w:val="22"/>
          <w:szCs w:val="22"/>
          <w:lang w:val="bg-BG"/>
        </w:rPr>
        <w:t>-</w:t>
      </w:r>
      <w:r w:rsidRPr="00BE2E58">
        <w:rPr>
          <w:noProof/>
          <w:sz w:val="22"/>
          <w:szCs w:val="22"/>
          <w:lang w:val="bg-BG"/>
        </w:rPr>
        <w:tab/>
        <w:t>Наредба № Iз – 1971 за СТПН</w:t>
      </w:r>
    </w:p>
    <w:p w:rsidR="00BE2E58" w:rsidRDefault="00BE2E58" w:rsidP="00BE2E58">
      <w:pPr>
        <w:jc w:val="both"/>
        <w:rPr>
          <w:noProof/>
          <w:sz w:val="22"/>
          <w:szCs w:val="22"/>
          <w:lang w:val="bg-BG"/>
        </w:rPr>
      </w:pPr>
      <w:r w:rsidRPr="00BE2E58">
        <w:rPr>
          <w:noProof/>
          <w:sz w:val="22"/>
          <w:szCs w:val="22"/>
          <w:lang w:val="bg-BG"/>
        </w:rPr>
        <w:t>-</w:t>
      </w:r>
      <w:r w:rsidRPr="00BE2E58">
        <w:rPr>
          <w:noProof/>
          <w:sz w:val="22"/>
          <w:szCs w:val="22"/>
          <w:lang w:val="bg-BG"/>
        </w:rPr>
        <w:tab/>
        <w:t>Наредба №4 за обхват и съдържание на проектната документация и др.</w:t>
      </w:r>
    </w:p>
    <w:p w:rsidR="00BE2E58" w:rsidRPr="00BE2E58" w:rsidRDefault="00942F7A" w:rsidP="00BE2E58">
      <w:pPr>
        <w:jc w:val="both"/>
        <w:rPr>
          <w:b/>
          <w:noProof/>
          <w:sz w:val="22"/>
          <w:szCs w:val="22"/>
          <w:lang w:val="bg-BG"/>
        </w:rPr>
      </w:pPr>
      <w:r>
        <w:rPr>
          <w:b/>
          <w:noProof/>
          <w:sz w:val="22"/>
          <w:szCs w:val="22"/>
          <w:lang w:val="bg-BG"/>
        </w:rPr>
        <w:t>2.</w:t>
      </w:r>
      <w:r w:rsidR="00BE2E58" w:rsidRPr="00BE2E58">
        <w:rPr>
          <w:b/>
          <w:noProof/>
          <w:sz w:val="22"/>
          <w:szCs w:val="22"/>
          <w:lang w:val="bg-BG"/>
        </w:rPr>
        <w:t xml:space="preserve">ИЗИСКВАНИЯ КЪМ ОБЕКТА </w:t>
      </w:r>
    </w:p>
    <w:p w:rsidR="00F517A7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 xml:space="preserve">Обекта трябва да се ситуира в началото на гробищния парк, непосредствено до действащия в момента  централен  вход на  не по-малко от 3 м от уличните регулации.  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Пешеходният достъп да бъде предвиден от към улица „Елтепе“.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 xml:space="preserve">Пространството около него да бъде застлано със здрави бетонови плочки и да бъде достъпно за траурните коли. </w:t>
      </w:r>
    </w:p>
    <w:p w:rsidR="00F517A7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В северна посока от обредния дом да се</w:t>
      </w:r>
      <w:r w:rsidR="00F517A7" w:rsidRPr="00F517A7">
        <w:rPr>
          <w:noProof/>
        </w:rPr>
        <w:t xml:space="preserve"> създаде зелено пространство с</w:t>
      </w:r>
      <w:r w:rsidRPr="00F517A7">
        <w:rPr>
          <w:noProof/>
        </w:rPr>
        <w:t xml:space="preserve"> пейки и чешма за ползване от посетителите. 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В непосредствена близост да се проектира предвиденият по градоустройство паркинг за да не се обременяват паркингите и уличното движение от колите на посетителите на гробищния парк.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lastRenderedPageBreak/>
        <w:t>Новата сграда да се проектира на един етаж с монолитни греди и плочи.</w:t>
      </w:r>
    </w:p>
    <w:p w:rsidR="00F517A7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В нея да се предвиди траурна зала до  120 кв.м и прилежащи към нея коридори и анекси.</w:t>
      </w:r>
    </w:p>
    <w:p w:rsidR="00F517A7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Близо до входа да се предвидят тоалетни помещения минимум по една клетка за мъже и жени, както и санитарен възел за хора в неравностойно положение.</w:t>
      </w:r>
    </w:p>
    <w:p w:rsidR="00F517A7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Да се създаде достъпна среда до всички видове помещения и нива.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В непосредствена близост до траурната зала да се предвидят две зали за възпоменания и ритуали. Същите да бъдат ситуирани така, че да имат относителна самостоятелност и да могат да функционерат независимо от голямата зала.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Близо до входа да се създаде остъклен бокс за прощаване с покойника. Непосредствано до него да се предвиди хладилна камера, лекарски кабинет и служебен офис.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При проектирането на входовете и изходите да се вземе под внимание едновременно спецификата на гражданския ритуал  и съществуващите традиции  при погребения.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Конструкцията  на сградата да бъде монолитна. Да се използват традиционните строителни материали – тухли, бетон, мазилка и частично каменна облицовка по фасадите. Всички външни елементи на сградата да бъдат топлоизолирани.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>Подовете да бъдат застлани с твърди настилки.</w:t>
      </w:r>
    </w:p>
    <w:p w:rsidR="00BE2E58" w:rsidRPr="00F517A7" w:rsidRDefault="00BE2E58" w:rsidP="00F517A7">
      <w:pPr>
        <w:pStyle w:val="af0"/>
        <w:numPr>
          <w:ilvl w:val="0"/>
          <w:numId w:val="30"/>
        </w:numPr>
        <w:jc w:val="both"/>
        <w:rPr>
          <w:noProof/>
        </w:rPr>
      </w:pPr>
      <w:r w:rsidRPr="00F517A7">
        <w:rPr>
          <w:noProof/>
        </w:rPr>
        <w:t xml:space="preserve">Покрива на сградата да се реши като плосък. Голямата зала може да се повдигне и освети базиликално. Повдигнатия покрив да бъде с  наклон от 10% . </w:t>
      </w:r>
    </w:p>
    <w:p w:rsidR="00BE2E58" w:rsidRPr="004226AF" w:rsidRDefault="00BE2E58" w:rsidP="00BE2E58">
      <w:pPr>
        <w:jc w:val="both"/>
        <w:rPr>
          <w:b/>
          <w:noProof/>
          <w:sz w:val="22"/>
          <w:szCs w:val="22"/>
          <w:lang w:val="bg-BG"/>
        </w:rPr>
      </w:pPr>
      <w:r w:rsidRPr="004226AF">
        <w:rPr>
          <w:b/>
          <w:noProof/>
          <w:sz w:val="22"/>
          <w:szCs w:val="22"/>
          <w:lang w:val="bg-BG"/>
        </w:rPr>
        <w:t xml:space="preserve">   СТРОИТЕЛНИ МАТЕРИАЛИ</w:t>
      </w:r>
    </w:p>
    <w:p w:rsidR="004226AF" w:rsidRDefault="00BE2E58" w:rsidP="00BE2E58">
      <w:pPr>
        <w:jc w:val="both"/>
        <w:rPr>
          <w:noProof/>
          <w:sz w:val="22"/>
          <w:szCs w:val="22"/>
        </w:rPr>
      </w:pPr>
      <w:r w:rsidRPr="00BE2E58">
        <w:rPr>
          <w:noProof/>
          <w:sz w:val="22"/>
          <w:szCs w:val="22"/>
          <w:lang w:val="bg-BG"/>
        </w:rPr>
        <w:t xml:space="preserve">     </w:t>
      </w:r>
    </w:p>
    <w:p w:rsidR="00BE2E58" w:rsidRPr="004226AF" w:rsidRDefault="00BE2E58" w:rsidP="004226AF">
      <w:pPr>
        <w:pStyle w:val="af0"/>
        <w:numPr>
          <w:ilvl w:val="0"/>
          <w:numId w:val="31"/>
        </w:numPr>
        <w:jc w:val="both"/>
        <w:rPr>
          <w:noProof/>
        </w:rPr>
      </w:pPr>
      <w:r w:rsidRPr="004226AF">
        <w:rPr>
          <w:noProof/>
        </w:rPr>
        <w:t xml:space="preserve">Външните стени са тухлени с дебелина 25 см. Същите отвън да се топлоизолират и измажат с мазилка на </w:t>
      </w:r>
      <w:r w:rsidRPr="00C3269F">
        <w:rPr>
          <w:noProof/>
          <w:color w:val="FF0000"/>
        </w:rPr>
        <w:t>Баумит</w:t>
      </w:r>
      <w:r w:rsidR="004226AF" w:rsidRPr="00C3269F">
        <w:rPr>
          <w:noProof/>
          <w:color w:val="FF0000"/>
        </w:rPr>
        <w:t xml:space="preserve"> и или еквивалентни</w:t>
      </w:r>
      <w:r w:rsidRPr="00C3269F">
        <w:rPr>
          <w:noProof/>
          <w:color w:val="FF0000"/>
        </w:rPr>
        <w:t>.</w:t>
      </w:r>
      <w:r w:rsidRPr="004226AF">
        <w:rPr>
          <w:noProof/>
        </w:rPr>
        <w:t xml:space="preserve"> Вътрешните да се предвидят също тухлени с дебелина 25 или 12 см.</w:t>
      </w:r>
      <w:r w:rsidR="004226AF">
        <w:rPr>
          <w:noProof/>
        </w:rPr>
        <w:t xml:space="preserve"> </w:t>
      </w:r>
      <w:r w:rsidRPr="004226AF">
        <w:rPr>
          <w:noProof/>
        </w:rPr>
        <w:t>Върху</w:t>
      </w:r>
      <w:r w:rsidR="004226AF">
        <w:rPr>
          <w:noProof/>
        </w:rPr>
        <w:t xml:space="preserve"> тях  да се положи мазилка, шпак</w:t>
      </w:r>
      <w:r w:rsidRPr="004226AF">
        <w:rPr>
          <w:noProof/>
        </w:rPr>
        <w:t>ловка и фаянс /в тоалетните и хладилната камера/.</w:t>
      </w:r>
    </w:p>
    <w:p w:rsidR="00BE2E58" w:rsidRPr="004226AF" w:rsidRDefault="00BE2E58" w:rsidP="004226AF">
      <w:pPr>
        <w:pStyle w:val="af0"/>
        <w:numPr>
          <w:ilvl w:val="0"/>
          <w:numId w:val="31"/>
        </w:numPr>
        <w:jc w:val="both"/>
        <w:rPr>
          <w:noProof/>
        </w:rPr>
      </w:pPr>
      <w:r w:rsidRPr="004226AF">
        <w:rPr>
          <w:noProof/>
        </w:rPr>
        <w:t>Външните стени да се топлоизолират с  дебелина 10 см, а бетоновия цокъл е с топлоизолация 6 см. Облицовката на външния цокъл да бъде с гранитогрес.</w:t>
      </w:r>
    </w:p>
    <w:p w:rsidR="00BE2E58" w:rsidRPr="004226AF" w:rsidRDefault="004226AF" w:rsidP="004226AF">
      <w:pPr>
        <w:pStyle w:val="af0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Покривът</w:t>
      </w:r>
      <w:r w:rsidR="00BE2E58" w:rsidRPr="004226AF">
        <w:rPr>
          <w:noProof/>
        </w:rPr>
        <w:t xml:space="preserve"> може да бъде обшит с медна или оловна ламарина. Външната дограма може да бъде от алуминии с прекъснат термомост. Вътрешните врати да се предвидат фурнировани табли.</w:t>
      </w:r>
    </w:p>
    <w:p w:rsidR="00BE2E58" w:rsidRPr="004226AF" w:rsidRDefault="00BE2E58" w:rsidP="004226AF">
      <w:pPr>
        <w:pStyle w:val="af0"/>
        <w:numPr>
          <w:ilvl w:val="0"/>
          <w:numId w:val="31"/>
        </w:numPr>
        <w:jc w:val="both"/>
        <w:rPr>
          <w:noProof/>
        </w:rPr>
      </w:pPr>
      <w:r w:rsidRPr="004226AF">
        <w:rPr>
          <w:noProof/>
        </w:rPr>
        <w:t>В новата  сграда да се предвиди отопление с термопомпи и конвектори, както и подходяща климатизация и вентилация на помещенията.</w:t>
      </w:r>
    </w:p>
    <w:p w:rsidR="00BE2E58" w:rsidRPr="004226AF" w:rsidRDefault="00BE2E58" w:rsidP="004226AF">
      <w:pPr>
        <w:pStyle w:val="af0"/>
        <w:numPr>
          <w:ilvl w:val="0"/>
          <w:numId w:val="31"/>
        </w:numPr>
        <w:jc w:val="both"/>
        <w:rPr>
          <w:noProof/>
        </w:rPr>
      </w:pPr>
      <w:r w:rsidRPr="004226AF">
        <w:rPr>
          <w:noProof/>
        </w:rPr>
        <w:t>При проектирането да се потърси тъкъв архитектурен образ, който да внушава репрезентативност и достойнство при провеждането на траурния обред.</w:t>
      </w:r>
    </w:p>
    <w:p w:rsidR="00BE2E58" w:rsidRPr="004226AF" w:rsidRDefault="00BE2E58" w:rsidP="004226AF">
      <w:pPr>
        <w:pStyle w:val="af0"/>
        <w:numPr>
          <w:ilvl w:val="0"/>
          <w:numId w:val="31"/>
        </w:numPr>
        <w:jc w:val="both"/>
        <w:rPr>
          <w:noProof/>
        </w:rPr>
      </w:pPr>
      <w:r w:rsidRPr="004226AF">
        <w:rPr>
          <w:noProof/>
        </w:rPr>
        <w:t>Застроената квадратура на обекта да не надвишава 400 кв м.</w:t>
      </w:r>
    </w:p>
    <w:p w:rsidR="00BE2E58" w:rsidRPr="00BE2E58" w:rsidRDefault="00BE2E58" w:rsidP="00BE2E58">
      <w:pPr>
        <w:jc w:val="both"/>
        <w:rPr>
          <w:noProof/>
          <w:sz w:val="22"/>
          <w:szCs w:val="22"/>
          <w:lang w:val="bg-BG"/>
        </w:rPr>
      </w:pPr>
    </w:p>
    <w:p w:rsidR="00942F7A" w:rsidRPr="00942F7A" w:rsidRDefault="00942F7A" w:rsidP="00942F7A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 w:rsidRPr="00942F7A">
        <w:rPr>
          <w:b/>
          <w:bCs/>
          <w:lang w:val="ru-RU" w:eastAsia="ru-RU"/>
        </w:rPr>
        <w:t>3. СЪДЪРЖАНИЕ НА ПРОЕКТНАТА ДОКУМЕНТАЦИЯ:</w:t>
      </w:r>
    </w:p>
    <w:p w:rsidR="00942F7A" w:rsidRPr="00942F7A" w:rsidRDefault="00942F7A" w:rsidP="00942F7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</w:p>
    <w:p w:rsidR="00942F7A" w:rsidRPr="00942F7A" w:rsidRDefault="00942F7A" w:rsidP="00C3269F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b/>
          <w:lang w:val="ru-RU" w:eastAsia="ru-RU"/>
        </w:rPr>
        <w:t>1.</w:t>
      </w:r>
      <w:r w:rsidRPr="00942F7A">
        <w:rPr>
          <w:lang w:val="ru-RU" w:eastAsia="ru-RU"/>
        </w:rPr>
        <w:t>Инвестиционния проект да се разработи в работна фаза и по следните части:</w:t>
      </w:r>
    </w:p>
    <w:p w:rsidR="00942F7A" w:rsidRPr="00942F7A" w:rsidRDefault="00942F7A" w:rsidP="00C3269F">
      <w:pPr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Архитектура, в това число цветово решение на фасадите;</w:t>
      </w:r>
    </w:p>
    <w:p w:rsidR="00942F7A" w:rsidRPr="00942F7A" w:rsidRDefault="00942F7A" w:rsidP="00C3269F">
      <w:pPr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Инженерно-геоложки доклад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Конструктивна;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План за безопасност и здраве, включително „Временна организация на движението", ако се налага специален режим по време на изпълнението;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ВиК - вътрешни инсталации и площадкова канализация;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ЕЛ - силнотокови и слаботокови инсталации;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ОВК;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Енергийна ефективност, Доклад за съответствие на енергийната ефективност;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Проект за пожарна безопасност;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Геодезия - геодезическо заснемане, вертикална планировка и трасировъчен план при дейности по околното пространство на сградата;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Благоустройство и паркоустройство, включващо озеленяване и ограда;</w:t>
      </w:r>
    </w:p>
    <w:p w:rsidR="00942F7A" w:rsidRPr="00942F7A" w:rsidRDefault="00942F7A" w:rsidP="00C3269F">
      <w:pPr>
        <w:tabs>
          <w:tab w:val="left" w:pos="706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942F7A">
        <w:rPr>
          <w:lang w:val="ru-RU" w:eastAsia="ru-RU"/>
        </w:rPr>
        <w:t>Подробни Количествено -стойностни сметки по всички части и общо</w:t>
      </w:r>
      <w:r>
        <w:rPr>
          <w:lang w:val="ru-RU" w:eastAsia="ru-RU"/>
        </w:rPr>
        <w:t xml:space="preserve"> за  </w:t>
      </w:r>
      <w:r w:rsidRPr="00942F7A">
        <w:rPr>
          <w:lang w:val="ru-RU" w:eastAsia="ru-RU"/>
        </w:rPr>
        <w:t xml:space="preserve"> проекта.</w:t>
      </w:r>
    </w:p>
    <w:p w:rsidR="00C3269F" w:rsidRDefault="00C3269F" w:rsidP="00942F7A">
      <w:pPr>
        <w:widowControl w:val="0"/>
        <w:jc w:val="both"/>
        <w:rPr>
          <w:rFonts w:eastAsiaTheme="minorHAnsi"/>
          <w:b/>
          <w:lang w:val="bg-BG"/>
        </w:rPr>
      </w:pPr>
    </w:p>
    <w:p w:rsidR="00942F7A" w:rsidRPr="00942F7A" w:rsidRDefault="00942F7A" w:rsidP="00C3269F">
      <w:pPr>
        <w:widowControl w:val="0"/>
        <w:ind w:firstLine="709"/>
        <w:jc w:val="both"/>
        <w:rPr>
          <w:rFonts w:eastAsiaTheme="minorHAnsi"/>
          <w:b/>
          <w:lang w:val="bg-BG"/>
        </w:rPr>
      </w:pPr>
      <w:r>
        <w:rPr>
          <w:rFonts w:eastAsiaTheme="minorHAnsi"/>
          <w:b/>
          <w:lang w:val="bg-BG"/>
        </w:rPr>
        <w:t>4.</w:t>
      </w:r>
      <w:r w:rsidRPr="00942F7A">
        <w:rPr>
          <w:rFonts w:eastAsiaTheme="minorHAnsi"/>
          <w:b/>
          <w:lang w:val="bg-BG"/>
        </w:rPr>
        <w:t>ОФОРМЯНЕ И ПРЕДСТАВЯНЕ НА ПРОЕКТНИТЕ МАТЕРИАЛИ</w:t>
      </w:r>
    </w:p>
    <w:p w:rsidR="00C3269F" w:rsidRDefault="00C3269F" w:rsidP="00942F7A">
      <w:pPr>
        <w:widowControl w:val="0"/>
        <w:jc w:val="both"/>
        <w:rPr>
          <w:rFonts w:eastAsiaTheme="minorHAnsi"/>
          <w:b/>
          <w:lang w:val="bg-BG"/>
        </w:rPr>
      </w:pPr>
    </w:p>
    <w:p w:rsidR="00942F7A" w:rsidRPr="00942F7A" w:rsidRDefault="00942F7A" w:rsidP="00C3269F">
      <w:pPr>
        <w:widowControl w:val="0"/>
        <w:ind w:firstLine="709"/>
        <w:jc w:val="both"/>
        <w:rPr>
          <w:rFonts w:eastAsiaTheme="minorHAnsi"/>
          <w:b/>
          <w:lang w:val="bg-BG"/>
        </w:rPr>
      </w:pPr>
      <w:r>
        <w:rPr>
          <w:rFonts w:eastAsiaTheme="minorHAnsi"/>
          <w:b/>
          <w:lang w:val="bg-BG"/>
        </w:rPr>
        <w:t>4.</w:t>
      </w:r>
      <w:r w:rsidR="00C3269F">
        <w:rPr>
          <w:rFonts w:eastAsiaTheme="minorHAnsi"/>
          <w:b/>
          <w:lang w:val="bg-BG"/>
        </w:rPr>
        <w:t>1.</w:t>
      </w:r>
      <w:r w:rsidRPr="00942F7A">
        <w:rPr>
          <w:rFonts w:eastAsiaTheme="minorHAnsi"/>
          <w:b/>
          <w:lang w:val="bg-BG"/>
        </w:rPr>
        <w:t>ЧЕРТЕЖИ</w:t>
      </w:r>
    </w:p>
    <w:p w:rsidR="00942F7A" w:rsidRPr="00942F7A" w:rsidRDefault="00942F7A" w:rsidP="00C3269F">
      <w:pPr>
        <w:widowControl w:val="0"/>
        <w:ind w:firstLine="709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>Оригиналите на чертежите да бъдат с размери на формат А2 и АЗ — на български. Всички текстове и цифри върху чертежите да бъдат изписани с подходяща големина, така че при намаляването им на формат АЗ да бъдат ясни и четливи.</w:t>
      </w:r>
    </w:p>
    <w:p w:rsidR="00C3269F" w:rsidRDefault="00C3269F" w:rsidP="00942F7A">
      <w:pPr>
        <w:widowControl w:val="0"/>
        <w:spacing w:after="200"/>
        <w:jc w:val="both"/>
        <w:rPr>
          <w:rFonts w:eastAsiaTheme="minorHAnsi"/>
          <w:b/>
          <w:lang w:val="bg-BG"/>
        </w:rPr>
      </w:pPr>
    </w:p>
    <w:p w:rsidR="00942F7A" w:rsidRPr="00942F7A" w:rsidRDefault="00942F7A" w:rsidP="00C3269F">
      <w:pPr>
        <w:widowControl w:val="0"/>
        <w:spacing w:after="200"/>
        <w:ind w:firstLine="709"/>
        <w:jc w:val="both"/>
        <w:rPr>
          <w:rFonts w:eastAsiaTheme="minorHAnsi"/>
          <w:b/>
          <w:lang w:val="bg-BG"/>
        </w:rPr>
      </w:pPr>
      <w:r>
        <w:rPr>
          <w:rFonts w:eastAsiaTheme="minorHAnsi"/>
          <w:b/>
          <w:lang w:val="bg-BG"/>
        </w:rPr>
        <w:t>4.</w:t>
      </w:r>
      <w:r w:rsidRPr="00942F7A">
        <w:rPr>
          <w:rFonts w:eastAsiaTheme="minorHAnsi"/>
          <w:b/>
          <w:lang w:val="bg-BG"/>
        </w:rPr>
        <w:t>2.ТЕКСТОВА ЧАСТ</w:t>
      </w:r>
    </w:p>
    <w:p w:rsidR="00942F7A" w:rsidRPr="00942F7A" w:rsidRDefault="00942F7A" w:rsidP="00C3269F">
      <w:pPr>
        <w:widowControl w:val="0"/>
        <w:ind w:firstLine="709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>Текстовата част на проекта да бъде на български език и да бъде комплектована в отделни папки /свитъци/, които да съдържат:</w:t>
      </w:r>
    </w:p>
    <w:p w:rsidR="00942F7A" w:rsidRPr="00942F7A" w:rsidRDefault="00942F7A" w:rsidP="00942F7A">
      <w:pPr>
        <w:widowControl w:val="0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ab/>
        <w:t>-</w:t>
      </w:r>
      <w:r w:rsidRPr="00942F7A">
        <w:rPr>
          <w:rFonts w:eastAsiaTheme="minorHAnsi"/>
          <w:lang w:val="bg-BG"/>
        </w:rPr>
        <w:tab/>
        <w:t>обяснителна записка;</w:t>
      </w:r>
    </w:p>
    <w:p w:rsidR="00942F7A" w:rsidRPr="00942F7A" w:rsidRDefault="00942F7A" w:rsidP="00942F7A">
      <w:pPr>
        <w:widowControl w:val="0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ab/>
        <w:t>-</w:t>
      </w:r>
      <w:r w:rsidRPr="00942F7A">
        <w:rPr>
          <w:rFonts w:eastAsiaTheme="minorHAnsi"/>
          <w:lang w:val="bg-BG"/>
        </w:rPr>
        <w:tab/>
        <w:t>всички таблици;</w:t>
      </w:r>
    </w:p>
    <w:p w:rsidR="00942F7A" w:rsidRPr="00942F7A" w:rsidRDefault="00942F7A" w:rsidP="00942F7A">
      <w:pPr>
        <w:widowControl w:val="0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ab/>
        <w:t>-</w:t>
      </w:r>
      <w:r w:rsidRPr="00942F7A">
        <w:rPr>
          <w:rFonts w:eastAsiaTheme="minorHAnsi"/>
          <w:lang w:val="bg-BG"/>
        </w:rPr>
        <w:tab/>
        <w:t>количествени сметки и ведомости - подробни и обобщени за пътните участъци;</w:t>
      </w:r>
    </w:p>
    <w:p w:rsidR="00C3269F" w:rsidRDefault="00C3269F" w:rsidP="00C3269F">
      <w:pPr>
        <w:widowControl w:val="0"/>
        <w:ind w:firstLine="709"/>
        <w:jc w:val="both"/>
        <w:rPr>
          <w:rFonts w:eastAsiaTheme="minorHAnsi"/>
          <w:b/>
          <w:lang w:val="bg-BG"/>
        </w:rPr>
      </w:pPr>
    </w:p>
    <w:p w:rsidR="00942F7A" w:rsidRPr="00942F7A" w:rsidRDefault="00942F7A" w:rsidP="00C3269F">
      <w:pPr>
        <w:widowControl w:val="0"/>
        <w:ind w:firstLine="709"/>
        <w:jc w:val="both"/>
        <w:rPr>
          <w:rFonts w:eastAsiaTheme="minorHAnsi"/>
          <w:b/>
          <w:lang w:val="bg-BG"/>
        </w:rPr>
      </w:pPr>
      <w:r>
        <w:rPr>
          <w:rFonts w:eastAsiaTheme="minorHAnsi"/>
          <w:b/>
          <w:lang w:val="bg-BG"/>
        </w:rPr>
        <w:t>4.</w:t>
      </w:r>
      <w:bookmarkStart w:id="2" w:name="_GoBack"/>
      <w:bookmarkEnd w:id="2"/>
      <w:r w:rsidRPr="00942F7A">
        <w:rPr>
          <w:rFonts w:eastAsiaTheme="minorHAnsi"/>
          <w:b/>
          <w:lang w:val="bg-BG"/>
        </w:rPr>
        <w:t>3.ЕКЗЕМПЛЯРИ</w:t>
      </w:r>
    </w:p>
    <w:p w:rsidR="00C3269F" w:rsidRDefault="00C3269F" w:rsidP="00942F7A">
      <w:pPr>
        <w:widowControl w:val="0"/>
        <w:jc w:val="both"/>
        <w:rPr>
          <w:rFonts w:eastAsiaTheme="minorHAnsi"/>
          <w:lang w:val="bg-BG"/>
        </w:rPr>
      </w:pPr>
    </w:p>
    <w:p w:rsidR="00942F7A" w:rsidRPr="00942F7A" w:rsidRDefault="00942F7A" w:rsidP="00C3269F">
      <w:pPr>
        <w:widowControl w:val="0"/>
        <w:ind w:firstLine="709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>Проектните материали да се представят на  Възложителя в следните екземпляри:</w:t>
      </w:r>
    </w:p>
    <w:p w:rsidR="00942F7A" w:rsidRPr="00942F7A" w:rsidRDefault="00942F7A" w:rsidP="00942F7A">
      <w:pPr>
        <w:widowControl w:val="0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ab/>
        <w:t>-</w:t>
      </w:r>
      <w:r w:rsidRPr="00942F7A">
        <w:rPr>
          <w:rFonts w:eastAsiaTheme="minorHAnsi"/>
          <w:lang w:val="bg-BG"/>
        </w:rPr>
        <w:tab/>
        <w:t>обобщена количествена сметка на български - по 3 комплекта;</w:t>
      </w:r>
    </w:p>
    <w:p w:rsidR="00942F7A" w:rsidRPr="00942F7A" w:rsidRDefault="00942F7A" w:rsidP="00942F7A">
      <w:pPr>
        <w:widowControl w:val="0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ab/>
        <w:t>-</w:t>
      </w:r>
      <w:r w:rsidRPr="00942F7A">
        <w:rPr>
          <w:rFonts w:eastAsiaTheme="minorHAnsi"/>
          <w:lang w:val="bg-BG"/>
        </w:rPr>
        <w:tab/>
        <w:t>3 комплекта копия проектна документация на български език с оригинални печати и подписи;</w:t>
      </w:r>
    </w:p>
    <w:p w:rsidR="00942F7A" w:rsidRPr="00942F7A" w:rsidRDefault="00942F7A" w:rsidP="00942F7A">
      <w:pPr>
        <w:widowControl w:val="0"/>
        <w:jc w:val="both"/>
        <w:rPr>
          <w:rFonts w:eastAsiaTheme="minorHAnsi"/>
          <w:lang w:val="bg-BG"/>
        </w:rPr>
      </w:pPr>
      <w:r w:rsidRPr="00942F7A">
        <w:rPr>
          <w:rFonts w:eastAsiaTheme="minorHAnsi"/>
          <w:lang w:val="bg-BG"/>
        </w:rPr>
        <w:tab/>
        <w:t>-</w:t>
      </w:r>
      <w:r w:rsidRPr="00942F7A">
        <w:rPr>
          <w:rFonts w:eastAsiaTheme="minorHAnsi"/>
          <w:lang w:val="bg-BG"/>
        </w:rPr>
        <w:tab/>
        <w:t>магнитен носител с пълна информация и запис на проекта на CD - 2бр. Чертежите да бъдат на формат PDF. Текстовите части да бъдат на WORD и на EXCEL.</w:t>
      </w:r>
    </w:p>
    <w:bookmarkEnd w:id="1"/>
    <w:p w:rsidR="00D50DB9" w:rsidRPr="00BE2E58" w:rsidRDefault="00D50DB9" w:rsidP="00BE2E58">
      <w:pPr>
        <w:jc w:val="both"/>
        <w:rPr>
          <w:noProof/>
          <w:sz w:val="22"/>
          <w:szCs w:val="22"/>
          <w:lang w:val="bg-BG"/>
        </w:rPr>
      </w:pPr>
    </w:p>
    <w:sectPr w:rsidR="00D50DB9" w:rsidRPr="00BE2E58" w:rsidSect="004B10D9">
      <w:footerReference w:type="default" r:id="rId8"/>
      <w:headerReference w:type="first" r:id="rId9"/>
      <w:pgSz w:w="11906" w:h="16838"/>
      <w:pgMar w:top="1100" w:right="849" w:bottom="709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73" w:rsidRDefault="00A33C73" w:rsidP="00DB3A7A">
      <w:r>
        <w:separator/>
      </w:r>
    </w:p>
  </w:endnote>
  <w:endnote w:type="continuationSeparator" w:id="0">
    <w:p w:rsidR="00A33C73" w:rsidRDefault="00A33C73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4577ED" w:rsidRDefault="00F0161E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1D6D37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CB237B">
      <w:rPr>
        <w:i/>
        <w:iCs/>
        <w:noProof/>
        <w:sz w:val="16"/>
        <w:szCs w:val="16"/>
      </w:rPr>
      <w:t>1</w:t>
    </w:r>
    <w:r w:rsidRPr="004577ED">
      <w:rPr>
        <w:i/>
        <w:iCs/>
        <w:sz w:val="16"/>
        <w:szCs w:val="16"/>
      </w:rPr>
      <w:fldChar w:fldCharType="end"/>
    </w:r>
  </w:p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73" w:rsidRDefault="00A33C73" w:rsidP="00DB3A7A">
      <w:r>
        <w:separator/>
      </w:r>
    </w:p>
  </w:footnote>
  <w:footnote w:type="continuationSeparator" w:id="0">
    <w:p w:rsidR="00A33C73" w:rsidRDefault="00A33C73" w:rsidP="00DB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9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7"/>
      <w:gridCol w:w="3232"/>
      <w:gridCol w:w="4678"/>
    </w:tblGrid>
    <w:tr w:rsidR="001D6D37" w:rsidTr="00CA1B70">
      <w:trPr>
        <w:jc w:val="center"/>
      </w:trPr>
      <w:tc>
        <w:tcPr>
          <w:tcW w:w="1446" w:type="dxa"/>
          <w:vMerge w:val="restart"/>
        </w:tcPr>
        <w:p w:rsidR="001D6D37" w:rsidRDefault="001D6D37" w:rsidP="00761BD7">
          <w:pPr>
            <w:pStyle w:val="a3"/>
            <w:tabs>
              <w:tab w:val="clear" w:pos="4320"/>
              <w:tab w:val="center" w:pos="5002"/>
            </w:tabs>
          </w:pPr>
          <w:r>
            <w:rPr>
              <w:noProof/>
              <w:lang w:val="bg-BG"/>
            </w:rPr>
            <w:drawing>
              <wp:inline distT="0" distB="0" distL="0" distR="0">
                <wp:extent cx="772287" cy="994611"/>
                <wp:effectExtent l="0" t="0" r="889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121121458000000006696214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76" cy="994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gridSpan w:val="2"/>
          <w:tcBorders>
            <w:bottom w:val="single" w:sz="4" w:space="0" w:color="auto"/>
          </w:tcBorders>
        </w:tcPr>
        <w:p w:rsidR="001D6D37" w:rsidRPr="00CA1B70" w:rsidRDefault="001D6D37" w:rsidP="00CA1B70">
          <w:pPr>
            <w:pStyle w:val="a3"/>
            <w:tabs>
              <w:tab w:val="clear" w:pos="4320"/>
              <w:tab w:val="left" w:pos="558"/>
              <w:tab w:val="center" w:pos="5003"/>
            </w:tabs>
            <w:spacing w:before="120"/>
            <w:jc w:val="center"/>
            <w:rPr>
              <w:b/>
              <w:spacing w:val="120"/>
              <w:lang w:val="bg-BG"/>
            </w:rPr>
          </w:pPr>
          <w:r w:rsidRPr="00CA1B70">
            <w:rPr>
              <w:b/>
              <w:spacing w:val="120"/>
              <w:lang w:val="bg-BG"/>
            </w:rPr>
            <w:t>ОБЩИНА ПЕТРИЧ</w:t>
          </w:r>
        </w:p>
        <w:p w:rsidR="001D6D37" w:rsidRPr="00CA1B70" w:rsidRDefault="001D6D37" w:rsidP="00CA1B70">
          <w:pPr>
            <w:pStyle w:val="a3"/>
            <w:tabs>
              <w:tab w:val="clear" w:pos="4320"/>
              <w:tab w:val="clear" w:pos="8640"/>
              <w:tab w:val="left" w:pos="558"/>
            </w:tabs>
            <w:jc w:val="center"/>
            <w:rPr>
              <w:sz w:val="20"/>
              <w:szCs w:val="20"/>
              <w:lang w:val="bg-BG"/>
            </w:rPr>
          </w:pPr>
          <w:r w:rsidRPr="00CA1B70">
            <w:rPr>
              <w:b/>
              <w:spacing w:val="120"/>
              <w:lang w:val="bg-BG"/>
            </w:rPr>
            <w:t>ОБЩИНСКА АДМИНИСТРАЦИЯ</w:t>
          </w:r>
        </w:p>
      </w:tc>
    </w:tr>
    <w:tr w:rsidR="001D6D37" w:rsidRPr="00CA1B70" w:rsidTr="00CA1B70">
      <w:trPr>
        <w:jc w:val="center"/>
      </w:trPr>
      <w:tc>
        <w:tcPr>
          <w:tcW w:w="1446" w:type="dxa"/>
          <w:vMerge/>
        </w:tcPr>
        <w:p w:rsidR="001D6D37" w:rsidRDefault="001D6D37" w:rsidP="00761BD7">
          <w:pPr>
            <w:pStyle w:val="a3"/>
          </w:pPr>
        </w:p>
      </w:tc>
      <w:tc>
        <w:tcPr>
          <w:tcW w:w="3233" w:type="dxa"/>
          <w:tcBorders>
            <w:top w:val="single" w:sz="4" w:space="0" w:color="auto"/>
          </w:tcBorders>
        </w:tcPr>
        <w:p w:rsidR="001D6D37" w:rsidRPr="00CA1B70" w:rsidRDefault="001D6D37" w:rsidP="00CA1B70">
          <w:pPr>
            <w:pStyle w:val="a3"/>
            <w:tabs>
              <w:tab w:val="left" w:pos="601"/>
            </w:tabs>
            <w:spacing w:before="120"/>
            <w:ind w:left="573"/>
            <w:rPr>
              <w:sz w:val="20"/>
              <w:szCs w:val="20"/>
              <w:lang w:val="bg-BG"/>
            </w:rPr>
          </w:pPr>
          <w:r w:rsidRPr="00CA1B70">
            <w:rPr>
              <w:sz w:val="20"/>
              <w:szCs w:val="20"/>
              <w:lang w:val="bg-BG"/>
            </w:rPr>
            <w:t xml:space="preserve">ул. „Цар Борис ІІІ“ </w:t>
          </w:r>
          <w:r w:rsidRPr="00CA1B70">
            <w:rPr>
              <w:sz w:val="20"/>
              <w:szCs w:val="20"/>
            </w:rPr>
            <w:t>No</w:t>
          </w:r>
          <w:r w:rsidRPr="00CA1B70">
            <w:rPr>
              <w:sz w:val="20"/>
              <w:szCs w:val="20"/>
              <w:lang w:val="bg-BG"/>
            </w:rPr>
            <w:t xml:space="preserve"> 24</w:t>
          </w:r>
        </w:p>
        <w:p w:rsidR="001D6D37" w:rsidRPr="00CA1B70" w:rsidRDefault="001D6D37" w:rsidP="00CA1B70">
          <w:pPr>
            <w:pStyle w:val="a3"/>
            <w:tabs>
              <w:tab w:val="left" w:pos="558"/>
              <w:tab w:val="left" w:pos="601"/>
            </w:tabs>
            <w:ind w:left="573"/>
            <w:rPr>
              <w:sz w:val="20"/>
              <w:szCs w:val="20"/>
              <w:lang w:val="bg-BG"/>
            </w:rPr>
          </w:pPr>
          <w:r w:rsidRPr="00CA1B70">
            <w:rPr>
              <w:sz w:val="20"/>
              <w:szCs w:val="20"/>
              <w:lang w:val="bg-BG"/>
            </w:rPr>
            <w:t>гр. Петрич 2850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1D6D37" w:rsidRPr="00CA1B70" w:rsidRDefault="001D6D37" w:rsidP="00CA1B70">
          <w:pPr>
            <w:pStyle w:val="a3"/>
            <w:tabs>
              <w:tab w:val="clear" w:pos="4320"/>
              <w:tab w:val="left" w:pos="558"/>
              <w:tab w:val="center" w:pos="3972"/>
            </w:tabs>
            <w:spacing w:before="120"/>
            <w:ind w:right="711"/>
            <w:jc w:val="right"/>
            <w:rPr>
              <w:sz w:val="20"/>
              <w:szCs w:val="20"/>
              <w:lang w:val="bg-BG"/>
            </w:rPr>
          </w:pPr>
          <w:r>
            <w:rPr>
              <w:sz w:val="20"/>
              <w:szCs w:val="20"/>
              <w:lang w:val="bg-BG"/>
            </w:rPr>
            <w:t xml:space="preserve"> </w:t>
          </w:r>
          <w:r w:rsidRPr="00CA1B70">
            <w:rPr>
              <w:sz w:val="20"/>
              <w:szCs w:val="20"/>
              <w:lang w:val="bg-BG"/>
            </w:rPr>
            <w:t>тел.: 0745 69 112, тел./факс: 0745 6 20 90</w:t>
          </w:r>
        </w:p>
        <w:p w:rsidR="001D6D37" w:rsidRPr="00CA1B70" w:rsidRDefault="001D6D37" w:rsidP="00CA1B70">
          <w:pPr>
            <w:pStyle w:val="a3"/>
            <w:tabs>
              <w:tab w:val="clear" w:pos="4320"/>
              <w:tab w:val="left" w:pos="558"/>
              <w:tab w:val="center" w:pos="3972"/>
            </w:tabs>
            <w:ind w:right="711"/>
            <w:jc w:val="right"/>
            <w:rPr>
              <w:sz w:val="20"/>
              <w:szCs w:val="20"/>
            </w:rPr>
          </w:pPr>
          <w:r w:rsidRPr="00CA1B70">
            <w:rPr>
              <w:sz w:val="20"/>
              <w:szCs w:val="20"/>
              <w:lang w:val="bg-BG"/>
            </w:rPr>
            <w:t xml:space="preserve">ел.-поща: </w:t>
          </w:r>
          <w:r w:rsidRPr="00CA1B70">
            <w:rPr>
              <w:sz w:val="20"/>
              <w:szCs w:val="20"/>
            </w:rPr>
            <w:t>oa_petrich@mbox.contact.bg</w:t>
          </w:r>
        </w:p>
      </w:tc>
    </w:tr>
  </w:tbl>
  <w:p w:rsidR="001D6D37" w:rsidRPr="00117079" w:rsidRDefault="001D6D37" w:rsidP="00117079">
    <w:pPr>
      <w:tabs>
        <w:tab w:val="left" w:pos="4320"/>
      </w:tabs>
      <w:rPr>
        <w:sz w:val="8"/>
        <w:szCs w:val="8"/>
        <w:lang w:val="bg-BG"/>
      </w:rPr>
    </w:pPr>
  </w:p>
  <w:p w:rsidR="001D6D37" w:rsidRPr="00E21871" w:rsidRDefault="001D6D3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355C"/>
    <w:multiLevelType w:val="hybridMultilevel"/>
    <w:tmpl w:val="ADFE6F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2B33728"/>
    <w:multiLevelType w:val="hybridMultilevel"/>
    <w:tmpl w:val="77B01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18"/>
  </w:num>
  <w:num w:numId="5">
    <w:abstractNumId w:val="26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24"/>
  </w:num>
  <w:num w:numId="11">
    <w:abstractNumId w:val="28"/>
  </w:num>
  <w:num w:numId="12">
    <w:abstractNumId w:val="22"/>
  </w:num>
  <w:num w:numId="13">
    <w:abstractNumId w:val="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30"/>
  </w:num>
  <w:num w:numId="18">
    <w:abstractNumId w:val="2"/>
  </w:num>
  <w:num w:numId="19">
    <w:abstractNumId w:val="0"/>
  </w:num>
  <w:num w:numId="20">
    <w:abstractNumId w:val="16"/>
  </w:num>
  <w:num w:numId="21">
    <w:abstractNumId w:val="19"/>
  </w:num>
  <w:num w:numId="22">
    <w:abstractNumId w:val="1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6"/>
  </w:num>
  <w:num w:numId="27">
    <w:abstractNumId w:val="29"/>
  </w:num>
  <w:num w:numId="28">
    <w:abstractNumId w:val="17"/>
  </w:num>
  <w:num w:numId="29">
    <w:abstractNumId w:val="27"/>
  </w:num>
  <w:num w:numId="30">
    <w:abstractNumId w:val="10"/>
  </w:num>
  <w:num w:numId="31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06528"/>
    <w:rsid w:val="00010A4F"/>
    <w:rsid w:val="000154B8"/>
    <w:rsid w:val="00016214"/>
    <w:rsid w:val="0002069F"/>
    <w:rsid w:val="00020C53"/>
    <w:rsid w:val="00021087"/>
    <w:rsid w:val="00023074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18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3A8D"/>
    <w:rsid w:val="0009401C"/>
    <w:rsid w:val="0009488A"/>
    <w:rsid w:val="00094E1D"/>
    <w:rsid w:val="00095C2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45A29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417"/>
    <w:rsid w:val="001A7559"/>
    <w:rsid w:val="001B049D"/>
    <w:rsid w:val="001B12C5"/>
    <w:rsid w:val="001B201D"/>
    <w:rsid w:val="001B62AD"/>
    <w:rsid w:val="001B6BE1"/>
    <w:rsid w:val="001B6FBD"/>
    <w:rsid w:val="001B7D0B"/>
    <w:rsid w:val="001C35FA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6987"/>
    <w:rsid w:val="001F7558"/>
    <w:rsid w:val="0020027C"/>
    <w:rsid w:val="00200440"/>
    <w:rsid w:val="002023B5"/>
    <w:rsid w:val="00205298"/>
    <w:rsid w:val="00207A82"/>
    <w:rsid w:val="0021037F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47BEF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439C"/>
    <w:rsid w:val="0037794D"/>
    <w:rsid w:val="00377EA1"/>
    <w:rsid w:val="00382742"/>
    <w:rsid w:val="00382AAC"/>
    <w:rsid w:val="00383838"/>
    <w:rsid w:val="00386EC1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2D92"/>
    <w:rsid w:val="003E41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6AF"/>
    <w:rsid w:val="00422ED4"/>
    <w:rsid w:val="00426C6A"/>
    <w:rsid w:val="00427545"/>
    <w:rsid w:val="00427A2E"/>
    <w:rsid w:val="00430E08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4FFD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0D9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637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65C30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2CB"/>
    <w:rsid w:val="005B1712"/>
    <w:rsid w:val="005B1BF5"/>
    <w:rsid w:val="005B34A2"/>
    <w:rsid w:val="005B4466"/>
    <w:rsid w:val="005B4A08"/>
    <w:rsid w:val="005B6F4F"/>
    <w:rsid w:val="005B7B82"/>
    <w:rsid w:val="005C0CF4"/>
    <w:rsid w:val="005C1F25"/>
    <w:rsid w:val="005C442B"/>
    <w:rsid w:val="005D043A"/>
    <w:rsid w:val="005D0E02"/>
    <w:rsid w:val="005D2418"/>
    <w:rsid w:val="005D28DE"/>
    <w:rsid w:val="005D2D10"/>
    <w:rsid w:val="005D34E0"/>
    <w:rsid w:val="005D358E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2C8A"/>
    <w:rsid w:val="0069335D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0F0F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15C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09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0ACA"/>
    <w:rsid w:val="00881D78"/>
    <w:rsid w:val="00882254"/>
    <w:rsid w:val="00882335"/>
    <w:rsid w:val="00883B8E"/>
    <w:rsid w:val="008845CE"/>
    <w:rsid w:val="00885DE7"/>
    <w:rsid w:val="008861FC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38CF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14BC"/>
    <w:rsid w:val="009424EB"/>
    <w:rsid w:val="0094268A"/>
    <w:rsid w:val="00942F7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578A"/>
    <w:rsid w:val="009A6666"/>
    <w:rsid w:val="009A7107"/>
    <w:rsid w:val="009A74A3"/>
    <w:rsid w:val="009A7635"/>
    <w:rsid w:val="009A77D6"/>
    <w:rsid w:val="009B1C08"/>
    <w:rsid w:val="009B2489"/>
    <w:rsid w:val="009B3959"/>
    <w:rsid w:val="009B5A2D"/>
    <w:rsid w:val="009B6A8A"/>
    <w:rsid w:val="009B6B78"/>
    <w:rsid w:val="009B6C6B"/>
    <w:rsid w:val="009B71B0"/>
    <w:rsid w:val="009C09BB"/>
    <w:rsid w:val="009C25FD"/>
    <w:rsid w:val="009C6E5E"/>
    <w:rsid w:val="009C7254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4C63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3C73"/>
    <w:rsid w:val="00A34299"/>
    <w:rsid w:val="00A3527A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362D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5DE4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19C8"/>
    <w:rsid w:val="00BD2004"/>
    <w:rsid w:val="00BD38ED"/>
    <w:rsid w:val="00BD68D4"/>
    <w:rsid w:val="00BD7D71"/>
    <w:rsid w:val="00BE0AB5"/>
    <w:rsid w:val="00BE212F"/>
    <w:rsid w:val="00BE21C1"/>
    <w:rsid w:val="00BE2E58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36C"/>
    <w:rsid w:val="00C22BCB"/>
    <w:rsid w:val="00C23688"/>
    <w:rsid w:val="00C258B6"/>
    <w:rsid w:val="00C30378"/>
    <w:rsid w:val="00C30988"/>
    <w:rsid w:val="00C3269F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71DA"/>
    <w:rsid w:val="00C70433"/>
    <w:rsid w:val="00C7327A"/>
    <w:rsid w:val="00C7425B"/>
    <w:rsid w:val="00C747D7"/>
    <w:rsid w:val="00C7662E"/>
    <w:rsid w:val="00C76AA0"/>
    <w:rsid w:val="00C773D0"/>
    <w:rsid w:val="00C77A06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37B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0D3F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4581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DB9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1F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45C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E3F"/>
    <w:rsid w:val="00E46501"/>
    <w:rsid w:val="00E46EA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038A"/>
    <w:rsid w:val="00EC1BF4"/>
    <w:rsid w:val="00EC36D1"/>
    <w:rsid w:val="00EC3974"/>
    <w:rsid w:val="00EC546A"/>
    <w:rsid w:val="00EC5D98"/>
    <w:rsid w:val="00EC7296"/>
    <w:rsid w:val="00ED009E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61E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5B8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7A7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86343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boxtitle">
    <w:name w:val="box_title"/>
    <w:basedOn w:val="a"/>
    <w:rsid w:val="00E46EA1"/>
    <w:pPr>
      <w:spacing w:before="100" w:beforeAutospacing="1" w:after="100" w:afterAutospacing="1"/>
    </w:pPr>
    <w:rPr>
      <w:lang w:val="bg-BG" w:eastAsia="bg-BG"/>
    </w:rPr>
  </w:style>
  <w:style w:type="character" w:styleId="afc">
    <w:name w:val="annotation reference"/>
    <w:basedOn w:val="a0"/>
    <w:uiPriority w:val="99"/>
    <w:semiHidden/>
    <w:unhideWhenUsed/>
    <w:locked/>
    <w:rsid w:val="00347BE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347BEF"/>
    <w:rPr>
      <w:sz w:val="20"/>
      <w:szCs w:val="20"/>
    </w:rPr>
  </w:style>
  <w:style w:type="character" w:customStyle="1" w:styleId="afe">
    <w:name w:val="Текст на коментар Знак"/>
    <w:basedOn w:val="a0"/>
    <w:link w:val="afd"/>
    <w:uiPriority w:val="99"/>
    <w:semiHidden/>
    <w:rsid w:val="00347BEF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347BEF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semiHidden/>
    <w:rsid w:val="00347BEF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4416-0FC7-4743-944F-8BB73431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5</cp:revision>
  <cp:lastPrinted>2016-03-10T07:42:00Z</cp:lastPrinted>
  <dcterms:created xsi:type="dcterms:W3CDTF">2016-06-06T13:27:00Z</dcterms:created>
  <dcterms:modified xsi:type="dcterms:W3CDTF">2016-06-08T08:31:00Z</dcterms:modified>
</cp:coreProperties>
</file>