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4" w:rsidRPr="00096453" w:rsidRDefault="00AF65D4" w:rsidP="007A4E19">
      <w:pPr>
        <w:pStyle w:val="20"/>
        <w:spacing w:line="276" w:lineRule="auto"/>
        <w:ind w:left="4956" w:firstLine="708"/>
        <w:jc w:val="left"/>
        <w:rPr>
          <w:rFonts w:ascii="Times New Roman" w:hAnsi="Times New Roman"/>
          <w:b/>
          <w:sz w:val="22"/>
          <w:szCs w:val="22"/>
        </w:rPr>
      </w:pPr>
      <w:bookmarkStart w:id="0" w:name="_Toc484348309"/>
      <w:r w:rsidRPr="00096453">
        <w:rPr>
          <w:rFonts w:ascii="Times New Roman" w:hAnsi="Times New Roman"/>
          <w:b/>
          <w:sz w:val="22"/>
          <w:szCs w:val="22"/>
        </w:rPr>
        <w:t>Приложение №</w:t>
      </w:r>
      <w:r w:rsidR="006B051F" w:rsidRPr="00096453">
        <w:rPr>
          <w:rFonts w:ascii="Times New Roman" w:hAnsi="Times New Roman"/>
          <w:b/>
          <w:sz w:val="22"/>
          <w:szCs w:val="22"/>
        </w:rPr>
        <w:t>7</w:t>
      </w:r>
      <w:r w:rsidRPr="00096453">
        <w:rPr>
          <w:rFonts w:ascii="Times New Roman" w:hAnsi="Times New Roman"/>
          <w:b/>
          <w:sz w:val="22"/>
          <w:szCs w:val="22"/>
        </w:rPr>
        <w:t xml:space="preserve"> – Проект на договор</w:t>
      </w:r>
      <w:bookmarkEnd w:id="0"/>
    </w:p>
    <w:p w:rsidR="00E764FE" w:rsidRPr="00096453" w:rsidRDefault="00E764FE" w:rsidP="007A4E19">
      <w:pPr>
        <w:spacing w:line="276" w:lineRule="auto"/>
        <w:ind w:left="7788" w:firstLine="708"/>
        <w:rPr>
          <w:rFonts w:ascii="Times New Roman" w:hAnsi="Times New Roman"/>
          <w:b/>
          <w:i/>
          <w:sz w:val="22"/>
          <w:szCs w:val="22"/>
        </w:rPr>
      </w:pP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961"/>
        <w:gridCol w:w="85"/>
        <w:gridCol w:w="5452"/>
        <w:gridCol w:w="724"/>
      </w:tblGrid>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096453" w:rsidRDefault="00E764FE" w:rsidP="007A4E19">
            <w:pPr>
              <w:spacing w:line="276" w:lineRule="auto"/>
              <w:jc w:val="center"/>
              <w:rPr>
                <w:rFonts w:ascii="Times New Roman" w:hAnsi="Times New Roman"/>
                <w:b/>
                <w:color w:val="000000"/>
                <w:sz w:val="22"/>
                <w:szCs w:val="22"/>
              </w:rPr>
            </w:pPr>
          </w:p>
          <w:p w:rsidR="00E764FE" w:rsidRPr="00096453" w:rsidRDefault="00E764FE" w:rsidP="007A4E19">
            <w:pPr>
              <w:spacing w:line="276" w:lineRule="auto"/>
              <w:jc w:val="center"/>
              <w:rPr>
                <w:rFonts w:ascii="Times New Roman" w:hAnsi="Times New Roman"/>
                <w:b/>
                <w:color w:val="000000"/>
                <w:sz w:val="22"/>
                <w:szCs w:val="22"/>
              </w:rPr>
            </w:pPr>
            <w:r w:rsidRPr="00096453">
              <w:rPr>
                <w:rFonts w:ascii="Times New Roman" w:hAnsi="Times New Roman"/>
                <w:b/>
                <w:color w:val="000000"/>
                <w:sz w:val="22"/>
                <w:szCs w:val="22"/>
              </w:rPr>
              <w:t xml:space="preserve">ДОГОВОР ЗА ОБЩЕСТВЕНА ПОРЪЧКА </w:t>
            </w:r>
          </w:p>
          <w:p w:rsidR="00E764FE" w:rsidRPr="00096453" w:rsidRDefault="00E764FE" w:rsidP="007A4E19">
            <w:pPr>
              <w:spacing w:line="276" w:lineRule="auto"/>
              <w:jc w:val="center"/>
              <w:rPr>
                <w:rFonts w:ascii="Times New Roman" w:hAnsi="Times New Roman"/>
                <w:b/>
                <w:color w:val="000000"/>
                <w:sz w:val="22"/>
                <w:szCs w:val="22"/>
              </w:rPr>
            </w:pPr>
          </w:p>
        </w:tc>
      </w:tr>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t>Днес, ………………..... 201</w:t>
            </w:r>
            <w:r w:rsidR="0098220D" w:rsidRPr="00CD790A">
              <w:rPr>
                <w:rFonts w:ascii="Times New Roman" w:hAnsi="Times New Roman"/>
                <w:bCs/>
                <w:sz w:val="22"/>
                <w:szCs w:val="22"/>
              </w:rPr>
              <w:t>8</w:t>
            </w:r>
            <w:r w:rsidRPr="00CD790A">
              <w:rPr>
                <w:rFonts w:ascii="Times New Roman" w:hAnsi="Times New Roman"/>
                <w:bCs/>
                <w:sz w:val="22"/>
                <w:szCs w:val="22"/>
              </w:rPr>
              <w:t xml:space="preserve"> г., в гр. </w:t>
            </w:r>
            <w:r w:rsidR="00F81B51" w:rsidRPr="00CD790A">
              <w:rPr>
                <w:rFonts w:ascii="Times New Roman" w:hAnsi="Times New Roman"/>
                <w:bCs/>
                <w:sz w:val="22"/>
                <w:szCs w:val="22"/>
              </w:rPr>
              <w:t>Шабла</w:t>
            </w:r>
            <w:r w:rsidRPr="00CD790A">
              <w:rPr>
                <w:rFonts w:ascii="Times New Roman" w:hAnsi="Times New Roman"/>
                <w:bCs/>
                <w:sz w:val="22"/>
                <w:szCs w:val="22"/>
              </w:rPr>
              <w:t>, между:</w:t>
            </w:r>
          </w:p>
          <w:p w:rsidR="00E764FE" w:rsidRPr="00CD790A" w:rsidRDefault="00E764FE" w:rsidP="008457FA">
            <w:pPr>
              <w:spacing w:line="360" w:lineRule="auto"/>
              <w:jc w:val="both"/>
              <w:rPr>
                <w:rFonts w:ascii="Times New Roman" w:hAnsi="Times New Roman"/>
                <w:bCs/>
                <w:sz w:val="22"/>
                <w:szCs w:val="22"/>
              </w:rPr>
            </w:pPr>
          </w:p>
          <w:p w:rsidR="000C6A7A" w:rsidRPr="00616E2B" w:rsidRDefault="000C6A7A" w:rsidP="000C6A7A">
            <w:pPr>
              <w:pStyle w:val="Default"/>
              <w:numPr>
                <w:ilvl w:val="0"/>
                <w:numId w:val="21"/>
              </w:numPr>
              <w:spacing w:line="276" w:lineRule="auto"/>
              <w:ind w:left="-15" w:firstLine="476"/>
              <w:jc w:val="both"/>
              <w:rPr>
                <w:color w:val="auto"/>
                <w:sz w:val="22"/>
                <w:szCs w:val="22"/>
                <w:lang w:eastAsia="bg-BG"/>
              </w:rPr>
            </w:pPr>
            <w:r w:rsidRPr="00FF5AEB">
              <w:rPr>
                <w:b/>
                <w:color w:val="auto"/>
                <w:sz w:val="22"/>
                <w:szCs w:val="22"/>
                <w:lang w:eastAsia="bg-BG"/>
              </w:rPr>
              <w:t>ОБЩИНА ШАБЛА</w:t>
            </w:r>
            <w:r w:rsidRPr="00FF5AEB">
              <w:rPr>
                <w:color w:val="auto"/>
                <w:sz w:val="22"/>
                <w:szCs w:val="22"/>
                <w:lang w:eastAsia="bg-BG"/>
              </w:rPr>
              <w:t>, с адрес гр. Шабла, ул. „Равно поле” № 35, ЕИК по БУЛСТАТ 000852957 представлявана от Мариян Жечев - Кмет на Общината, и Ани Хараламбиева – Н-к отдел Счетоводство</w:t>
            </w:r>
            <w:r w:rsidRPr="00616E2B">
              <w:rPr>
                <w:color w:val="auto"/>
                <w:sz w:val="22"/>
                <w:szCs w:val="22"/>
                <w:lang w:eastAsia="bg-BG"/>
              </w:rPr>
              <w:t xml:space="preserve">, наричана по-долу за краткост “ВЪЗЛОЖИТЕЛ” от една страна, </w:t>
            </w:r>
          </w:p>
          <w:p w:rsidR="00E764FE" w:rsidRPr="00CD790A" w:rsidRDefault="00E764FE" w:rsidP="008457FA">
            <w:pPr>
              <w:pStyle w:val="Default"/>
              <w:spacing w:line="360" w:lineRule="auto"/>
              <w:rPr>
                <w:bCs/>
                <w:color w:val="auto"/>
                <w:sz w:val="22"/>
                <w:szCs w:val="22"/>
                <w:lang w:eastAsia="bg-BG"/>
              </w:rPr>
            </w:pPr>
            <w:r w:rsidRPr="00CD790A">
              <w:rPr>
                <w:bCs/>
                <w:color w:val="auto"/>
                <w:sz w:val="22"/>
                <w:szCs w:val="22"/>
                <w:lang w:eastAsia="bg-BG"/>
              </w:rPr>
              <w:t xml:space="preserve">и </w:t>
            </w:r>
          </w:p>
          <w:p w:rsidR="00E764FE" w:rsidRPr="00CD790A" w:rsidRDefault="00E764FE" w:rsidP="000C6A7A">
            <w:pPr>
              <w:pStyle w:val="Default"/>
              <w:numPr>
                <w:ilvl w:val="0"/>
                <w:numId w:val="21"/>
              </w:numPr>
              <w:spacing w:line="360" w:lineRule="auto"/>
              <w:ind w:left="0" w:firstLine="476"/>
              <w:jc w:val="both"/>
              <w:rPr>
                <w:bCs/>
                <w:color w:val="auto"/>
                <w:sz w:val="22"/>
                <w:szCs w:val="22"/>
                <w:lang w:eastAsia="bg-BG"/>
              </w:rPr>
            </w:pPr>
            <w:r w:rsidRPr="00CD790A">
              <w:rPr>
                <w:bCs/>
                <w:color w:val="auto"/>
                <w:sz w:val="22"/>
                <w:szCs w:val="22"/>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F95D0D" w:rsidRPr="00CD790A" w:rsidRDefault="00E764FE"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и на основание чл.</w:t>
            </w:r>
            <w:r w:rsidR="00F95D0D" w:rsidRPr="00CD790A">
              <w:rPr>
                <w:rFonts w:ascii="Times New Roman" w:hAnsi="Times New Roman"/>
                <w:bCs/>
                <w:sz w:val="22"/>
                <w:szCs w:val="22"/>
              </w:rPr>
              <w:t xml:space="preserve"> 112 ЗОП, във връзка с проведено</w:t>
            </w:r>
            <w:r w:rsidRPr="00CD790A">
              <w:rPr>
                <w:rFonts w:ascii="Times New Roman" w:hAnsi="Times New Roman"/>
                <w:bCs/>
                <w:sz w:val="22"/>
                <w:szCs w:val="22"/>
              </w:rPr>
              <w:t>т</w:t>
            </w:r>
            <w:r w:rsidR="00F95D0D" w:rsidRPr="00CD790A">
              <w:rPr>
                <w:rFonts w:ascii="Times New Roman" w:hAnsi="Times New Roman"/>
                <w:bCs/>
                <w:sz w:val="22"/>
                <w:szCs w:val="22"/>
              </w:rPr>
              <w:t>о</w:t>
            </w:r>
            <w:r w:rsidRPr="00CD790A">
              <w:rPr>
                <w:rFonts w:ascii="Times New Roman" w:hAnsi="Times New Roman"/>
                <w:bCs/>
                <w:sz w:val="22"/>
                <w:szCs w:val="22"/>
              </w:rPr>
              <w:t xml:space="preserve"> </w:t>
            </w:r>
            <w:r w:rsidR="00F95D0D" w:rsidRPr="00CD790A">
              <w:rPr>
                <w:rFonts w:ascii="Times New Roman" w:hAnsi="Times New Roman"/>
                <w:bCs/>
                <w:sz w:val="22"/>
                <w:szCs w:val="22"/>
              </w:rPr>
              <w:t>публично състезание</w:t>
            </w:r>
            <w:r w:rsidRPr="00CD790A">
              <w:rPr>
                <w:rFonts w:ascii="Times New Roman" w:hAnsi="Times New Roman"/>
                <w:bCs/>
                <w:sz w:val="22"/>
                <w:szCs w:val="22"/>
              </w:rPr>
              <w:t xml:space="preserve"> за възлагане на обществена поръчка с предмет: </w:t>
            </w:r>
            <w:r w:rsidR="00F95D0D" w:rsidRPr="00CD790A">
              <w:rPr>
                <w:rFonts w:ascii="Times New Roman" w:hAnsi="Times New Roman"/>
                <w:bCs/>
                <w:sz w:val="22"/>
                <w:szCs w:val="22"/>
              </w:rPr>
              <w:t>„Доставка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1 Доставка на мебели</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2 Доставка на  образователна интерактивна среда</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3 Доставка, монтаж и инсталиране на безжична мрежа</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4 Доставка и монтаж на видеонаблюдение</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5 Доставка и монтаж  на кухненско оборудване</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6 Оборудване на актова зала</w:t>
            </w:r>
          </w:p>
          <w:p w:rsidR="00F95D0D" w:rsidRPr="00CD790A" w:rsidRDefault="00F95D0D" w:rsidP="008457FA">
            <w:pPr>
              <w:spacing w:after="0" w:line="360" w:lineRule="auto"/>
              <w:jc w:val="both"/>
              <w:rPr>
                <w:rFonts w:ascii="Times New Roman" w:hAnsi="Times New Roman"/>
                <w:bCs/>
                <w:sz w:val="22"/>
                <w:szCs w:val="22"/>
              </w:rPr>
            </w:pPr>
            <w:r w:rsidRPr="00CD790A">
              <w:rPr>
                <w:rFonts w:ascii="Times New Roman" w:hAnsi="Times New Roman"/>
                <w:bCs/>
                <w:sz w:val="22"/>
                <w:szCs w:val="22"/>
              </w:rPr>
              <w:t>Обособена позиция № 7 Доставка и монтаж на Детски съоръжения</w:t>
            </w:r>
          </w:p>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lastRenderedPageBreak/>
              <w:t>и Решение № - ...../..................... г. на ВЪЗЛОЖИТЕЛЯ за определяне на ИЗПЪЛНИТЕЛ, се сключи настоящият договор, с който страните по него се споразумяха за следното:</w:t>
            </w:r>
          </w:p>
          <w:p w:rsidR="00E764FE" w:rsidRPr="00CD790A" w:rsidRDefault="00E764FE" w:rsidP="008457FA">
            <w:pPr>
              <w:spacing w:line="360" w:lineRule="auto"/>
              <w:jc w:val="center"/>
              <w:rPr>
                <w:rFonts w:ascii="Times New Roman" w:hAnsi="Times New Roman"/>
                <w:b/>
                <w:bCs/>
                <w:sz w:val="22"/>
                <w:szCs w:val="22"/>
              </w:rPr>
            </w:pPr>
            <w:bookmarkStart w:id="1" w:name="_Toc469810931"/>
            <w:bookmarkStart w:id="2" w:name="_Toc484348310"/>
            <w:r w:rsidRPr="00CD790A">
              <w:rPr>
                <w:rFonts w:ascii="Times New Roman" w:hAnsi="Times New Roman"/>
                <w:bCs/>
                <w:sz w:val="22"/>
                <w:szCs w:val="22"/>
              </w:rPr>
              <w:t xml:space="preserve"> </w:t>
            </w:r>
            <w:r w:rsidRPr="00CD790A">
              <w:rPr>
                <w:rFonts w:ascii="Times New Roman" w:hAnsi="Times New Roman"/>
                <w:b/>
                <w:bCs/>
                <w:sz w:val="22"/>
                <w:szCs w:val="22"/>
              </w:rPr>
              <w:t>ПРЕДМЕТ НА ДОГОВОРА</w:t>
            </w:r>
            <w:bookmarkEnd w:id="1"/>
            <w:bookmarkEnd w:id="2"/>
          </w:p>
          <w:p w:rsidR="00096453" w:rsidRPr="00CD790A" w:rsidRDefault="00096453" w:rsidP="008457FA">
            <w:pPr>
              <w:widowControl w:val="0"/>
              <w:spacing w:after="0" w:line="360" w:lineRule="auto"/>
              <w:jc w:val="both"/>
              <w:rPr>
                <w:rFonts w:ascii="Times New Roman" w:hAnsi="Times New Roman"/>
                <w:b/>
                <w:bCs/>
                <w:sz w:val="22"/>
                <w:szCs w:val="22"/>
              </w:rPr>
            </w:pPr>
            <w:r w:rsidRPr="00CD790A">
              <w:rPr>
                <w:rFonts w:ascii="Times New Roman" w:hAnsi="Times New Roman"/>
                <w:b/>
                <w:bCs/>
                <w:sz w:val="22"/>
                <w:szCs w:val="22"/>
              </w:rPr>
              <w:t>Член 1. Предмет</w:t>
            </w:r>
          </w:p>
          <w:p w:rsidR="00F95D0D" w:rsidRPr="00CD790A" w:rsidRDefault="008A5A97" w:rsidP="008457FA">
            <w:pPr>
              <w:spacing w:line="360" w:lineRule="auto"/>
              <w:jc w:val="both"/>
              <w:rPr>
                <w:rFonts w:ascii="Times New Roman" w:hAnsi="Times New Roman"/>
                <w:bCs/>
                <w:sz w:val="22"/>
                <w:szCs w:val="22"/>
              </w:rPr>
            </w:pPr>
            <w:r w:rsidRPr="00CD790A">
              <w:rPr>
                <w:rFonts w:ascii="Times New Roman" w:hAnsi="Times New Roman"/>
                <w:bCs/>
                <w:sz w:val="22"/>
                <w:szCs w:val="22"/>
              </w:rPr>
              <w:t>(</w:t>
            </w:r>
            <w:r w:rsidR="00096453" w:rsidRPr="00CD790A">
              <w:rPr>
                <w:rFonts w:ascii="Times New Roman" w:hAnsi="Times New Roman"/>
                <w:bCs/>
                <w:sz w:val="22"/>
                <w:szCs w:val="22"/>
              </w:rPr>
              <w:t>1.</w:t>
            </w:r>
            <w:r w:rsidRPr="00CD790A">
              <w:rPr>
                <w:rFonts w:ascii="Times New Roman" w:hAnsi="Times New Roman"/>
                <w:bCs/>
                <w:sz w:val="22"/>
                <w:szCs w:val="22"/>
              </w:rPr>
              <w:t xml:space="preserve">1) </w:t>
            </w:r>
            <w:r w:rsidR="00571E96" w:rsidRPr="00CD790A">
              <w:rPr>
                <w:rFonts w:ascii="Times New Roman" w:hAnsi="Times New Roman"/>
                <w:bCs/>
                <w:sz w:val="22"/>
                <w:szCs w:val="22"/>
              </w:rPr>
              <w:t xml:space="preserve">ВЪЗЛОЖИТЕЛЯТ възлага, а ИЗПЪЛНИТЕЛЯТ приема да предостави срещу възнаграждение </w:t>
            </w:r>
            <w:r w:rsidR="00F95D0D" w:rsidRPr="00CD790A">
              <w:rPr>
                <w:rFonts w:ascii="Times New Roman" w:hAnsi="Times New Roman"/>
                <w:bCs/>
                <w:sz w:val="22"/>
                <w:szCs w:val="22"/>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за Обособена позиция № …………: „……..........................…………“.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(1.2) Освен доставката по алинея (1.1) предметът на Договора включва и изпълнението на следните дейности:</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доставка на Оборудването/Обзавеждането</w:t>
            </w:r>
            <w:r w:rsidRPr="00CD790A">
              <w:rPr>
                <w:rFonts w:ascii="Times New Roman" w:hAnsi="Times New Roman"/>
                <w:bCs/>
                <w:sz w:val="22"/>
                <w:szCs w:val="22"/>
              </w:rPr>
              <w:footnoteReference w:id="1"/>
            </w:r>
            <w:r w:rsidRPr="00CD790A">
              <w:rPr>
                <w:rFonts w:ascii="Times New Roman" w:hAnsi="Times New Roman"/>
                <w:bCs/>
                <w:sz w:val="22"/>
                <w:szCs w:val="22"/>
              </w:rPr>
              <w:t xml:space="preserve"> до мястото на доставка, посочено в настоящия Договор</w:t>
            </w:r>
            <w:r w:rsidR="008457FA" w:rsidRPr="00CD790A">
              <w:rPr>
                <w:rFonts w:ascii="Times New Roman" w:hAnsi="Times New Roman"/>
                <w:bCs/>
                <w:sz w:val="22"/>
                <w:szCs w:val="22"/>
              </w:rPr>
              <w:t xml:space="preserve"> и Техническата спецификация</w:t>
            </w:r>
            <w:r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монтаж/инсталация и въвеждане в експлоатация на доставеното Оборудване/Обзавеждане</w:t>
            </w:r>
            <w:r w:rsidRPr="00CD790A">
              <w:rPr>
                <w:rFonts w:ascii="Times New Roman" w:hAnsi="Times New Roman"/>
                <w:bCs/>
                <w:sz w:val="22"/>
                <w:szCs w:val="22"/>
              </w:rPr>
              <w:footnoteReference w:id="2"/>
            </w:r>
            <w:r w:rsidRPr="00CD790A">
              <w:rPr>
                <w:rFonts w:ascii="Times New Roman" w:hAnsi="Times New Roman"/>
                <w:bCs/>
                <w:sz w:val="22"/>
                <w:szCs w:val="22"/>
              </w:rPr>
              <w:t xml:space="preserve">; </w:t>
            </w:r>
          </w:p>
          <w:p w:rsidR="00096453" w:rsidRPr="00CD790A" w:rsidRDefault="008457FA"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тестването на всички инсталирани продукти</w:t>
            </w:r>
            <w:r w:rsidR="00096453"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гаранционно обслужване на доставеното Оборудване/Обзавеждане</w:t>
            </w:r>
            <w:r w:rsidRPr="00CD790A">
              <w:rPr>
                <w:rFonts w:ascii="Times New Roman" w:hAnsi="Times New Roman"/>
                <w:bCs/>
                <w:sz w:val="22"/>
                <w:szCs w:val="22"/>
              </w:rPr>
              <w:footnoteReference w:id="3"/>
            </w:r>
            <w:r w:rsidRPr="00CD790A">
              <w:rPr>
                <w:rFonts w:ascii="Times New Roman" w:hAnsi="Times New Roman"/>
                <w:bCs/>
                <w:sz w:val="22"/>
                <w:szCs w:val="22"/>
              </w:rPr>
              <w:t xml:space="preserve">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Материалите, консумативите, дейностите и условията на гаранционното обслужване са описани в Техническото предложение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DB2048">
            <w:pPr>
              <w:tabs>
                <w:tab w:val="left" w:pos="0"/>
              </w:tabs>
              <w:spacing w:after="0" w:line="360" w:lineRule="auto"/>
              <w:contextualSpacing/>
              <w:jc w:val="center"/>
              <w:rPr>
                <w:rFonts w:ascii="Times New Roman" w:hAnsi="Times New Roman"/>
                <w:b/>
                <w:bCs/>
                <w:sz w:val="22"/>
                <w:szCs w:val="22"/>
              </w:rPr>
            </w:pPr>
            <w:r w:rsidRPr="00CD790A">
              <w:rPr>
                <w:rFonts w:ascii="Times New Roman" w:hAnsi="Times New Roman"/>
                <w:b/>
                <w:bCs/>
                <w:sz w:val="22"/>
                <w:szCs w:val="22"/>
              </w:rPr>
              <w:t>ЦЕНИ И НАЧИН НА ПЛАЩАНЕ</w:t>
            </w: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2. Цена</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(2.1) За изпълнението на предмета на Договора, Възложителят се задължава да заплати на Изпълнителя обща цена в размер на .................. лева без ДДС (.................... лева) и ......................... лева (........................ </w:t>
            </w:r>
            <w:r w:rsidRPr="00CD790A">
              <w:rPr>
                <w:rFonts w:ascii="Times New Roman" w:hAnsi="Times New Roman"/>
                <w:bCs/>
                <w:sz w:val="22"/>
                <w:szCs w:val="22"/>
              </w:rPr>
              <w:lastRenderedPageBreak/>
              <w:t>лева) с включен ДДС, съгласно Ценовото му предложение (Приложение №3), неразделна част от настоящия Договор.</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(2.2) Цената по алинея (2.1) включва, както следва:</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за доставка и прехвърляне на собствеността на Оборудването/Обзавеждането</w:t>
            </w:r>
            <w:r w:rsidRPr="00CD790A">
              <w:rPr>
                <w:rFonts w:ascii="Times New Roman" w:hAnsi="Times New Roman"/>
                <w:bCs/>
                <w:sz w:val="22"/>
                <w:szCs w:val="22"/>
              </w:rPr>
              <w:footnoteReference w:id="4"/>
            </w:r>
            <w:r w:rsidRPr="00CD790A">
              <w:rPr>
                <w:rFonts w:ascii="Times New Roman" w:hAnsi="Times New Roman"/>
                <w:bCs/>
                <w:sz w:val="22"/>
                <w:szCs w:val="22"/>
              </w:rPr>
              <w:t>, предмет на Договора, монтажа, въвеждането му в експлоатация (и обучението на персонала на Възложителя за работа с него)</w:t>
            </w:r>
            <w:r w:rsidRPr="00CD790A">
              <w:rPr>
                <w:rFonts w:ascii="Times New Roman" w:hAnsi="Times New Roman"/>
                <w:bCs/>
                <w:sz w:val="22"/>
                <w:szCs w:val="22"/>
              </w:rPr>
              <w:footnoteReference w:id="5"/>
            </w:r>
            <w:r w:rsidRPr="00CD790A">
              <w:rPr>
                <w:rFonts w:ascii="Times New Roman" w:hAnsi="Times New Roman"/>
                <w:bCs/>
                <w:sz w:val="22"/>
                <w:szCs w:val="22"/>
              </w:rPr>
              <w:t>;</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на гаранционното (сервизно) обслужване на Оборудването/Обзавеждането</w:t>
            </w:r>
            <w:r w:rsidRPr="00CD790A">
              <w:rPr>
                <w:rFonts w:ascii="Times New Roman" w:hAnsi="Times New Roman"/>
                <w:bCs/>
                <w:sz w:val="22"/>
                <w:szCs w:val="22"/>
              </w:rPr>
              <w:footnoteReference w:id="6"/>
            </w:r>
            <w:r w:rsidRPr="00CD790A">
              <w:rPr>
                <w:rFonts w:ascii="Times New Roman" w:hAnsi="Times New Roman"/>
                <w:bCs/>
                <w:sz w:val="22"/>
                <w:szCs w:val="22"/>
              </w:rPr>
              <w:t>, предмет на Договора;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Оборудването/Обзавеждането</w:t>
            </w:r>
            <w:r w:rsidRPr="00CD790A">
              <w:rPr>
                <w:rFonts w:ascii="Times New Roman" w:hAnsi="Times New Roman"/>
                <w:bCs/>
                <w:sz w:val="22"/>
                <w:szCs w:val="22"/>
              </w:rPr>
              <w:footnoteReference w:id="7"/>
            </w:r>
            <w:r w:rsidRPr="00CD790A">
              <w:rPr>
                <w:rFonts w:ascii="Times New Roman" w:hAnsi="Times New Roman"/>
                <w:bCs/>
                <w:sz w:val="22"/>
                <w:szCs w:val="22"/>
              </w:rPr>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(2.4) Посочените в настоящия Договор цени са крайни и остават непроменени за срока на действието му.</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3. Начин на плащане</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(3.1) Плащанията се извършват в български лева, с платежно нареждане по следната банкова сметка, посочена от Изпълнителя:</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E13F2" w:rsidRPr="00CD790A"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Всички разходооправдателни документи следва да съдържат следния текст </w:t>
            </w:r>
            <w:r w:rsidR="00DE13F2" w:rsidRPr="00CD790A">
              <w:rPr>
                <w:rFonts w:ascii="Times New Roman" w:hAnsi="Times New Roman"/>
                <w:bCs/>
                <w:sz w:val="22"/>
                <w:szCs w:val="22"/>
              </w:rPr>
              <w:t xml:space="preserve">„Разходът се извършва по </w:t>
            </w:r>
            <w:r w:rsidR="00DE13F2" w:rsidRPr="00CD790A">
              <w:rPr>
                <w:rFonts w:ascii="Times New Roman" w:hAnsi="Times New Roman"/>
                <w:bCs/>
                <w:sz w:val="22"/>
                <w:szCs w:val="22"/>
              </w:rPr>
              <w:lastRenderedPageBreak/>
              <w:t xml:space="preserve">Договор за отпускане на безвъзмездна финансова помощ № 08/07/2/0/00600/08.02.2018 г, сключен между община Шабла и </w:t>
            </w:r>
            <w:proofErr w:type="spellStart"/>
            <w:r w:rsidR="00DE13F2" w:rsidRPr="00CD790A">
              <w:rPr>
                <w:rFonts w:ascii="Times New Roman" w:hAnsi="Times New Roman"/>
                <w:bCs/>
                <w:sz w:val="22"/>
                <w:szCs w:val="22"/>
              </w:rPr>
              <w:t>ДФЗ</w:t>
            </w:r>
            <w:proofErr w:type="spellEnd"/>
            <w:r w:rsidR="00DE13F2" w:rsidRPr="00CD790A">
              <w:rPr>
                <w:rFonts w:ascii="Times New Roman" w:hAnsi="Times New Roman"/>
                <w:bCs/>
                <w:sz w:val="22"/>
                <w:szCs w:val="22"/>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p>
          <w:p w:rsidR="00096453" w:rsidRPr="00CD790A" w:rsidRDefault="00096453" w:rsidP="00096453">
            <w:pPr>
              <w:pStyle w:val="af2"/>
              <w:spacing w:before="0" w:beforeAutospacing="0" w:after="0" w:afterAutospacing="0" w:line="360" w:lineRule="auto"/>
              <w:jc w:val="both"/>
              <w:rPr>
                <w:rFonts w:ascii="Times New Roman" w:hAnsi="Times New Roman"/>
                <w:bCs/>
                <w:sz w:val="22"/>
                <w:szCs w:val="22"/>
              </w:rPr>
            </w:pPr>
            <w:r w:rsidRPr="00CD790A">
              <w:rPr>
                <w:rFonts w:ascii="Times New Roman" w:hAnsi="Times New Roman"/>
                <w:bCs/>
                <w:sz w:val="22"/>
                <w:szCs w:val="22"/>
              </w:rPr>
              <w:t xml:space="preserve">(3.2) Възложителят заплаща </w:t>
            </w:r>
          </w:p>
          <w:p w:rsidR="00096453" w:rsidRPr="00CD790A" w:rsidRDefault="00096453" w:rsidP="0095329C">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 авансово плащане в размер на 20% (двадесет процента) от стойността от цената по алинея (2.1) в срок от 10 (десет) дни след получаване на Възлагателното писмо от Изпълнителя и след представяне на фактура за цялата стойност на аванса</w:t>
            </w:r>
          </w:p>
          <w:p w:rsidR="00096453" w:rsidRPr="00CD790A" w:rsidRDefault="00096453" w:rsidP="0095329C">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(ii) окончателно плащане в размер на 80 % (осемдесет процента) от цената по алинея (2.1) в срок от 30 (тридесет) дни след подписване на документите по алинея (3.4) от настоящия Договор, при условие че Изпълнителят е предоставил фактура, както и гаранция за изпълнение на Договора в размера и при условията на член 11 от настоящия Договор.</w:t>
            </w:r>
          </w:p>
          <w:p w:rsidR="00096453" w:rsidRPr="00CD790A" w:rsidRDefault="00096453" w:rsidP="00096453">
            <w:pPr>
              <w:tabs>
                <w:tab w:val="left" w:pos="3402"/>
              </w:tabs>
              <w:spacing w:after="0" w:line="360" w:lineRule="auto"/>
              <w:jc w:val="both"/>
              <w:rPr>
                <w:rFonts w:ascii="Times New Roman" w:hAnsi="Times New Roman"/>
                <w:bCs/>
                <w:sz w:val="22"/>
                <w:szCs w:val="22"/>
              </w:rPr>
            </w:pPr>
            <w:r w:rsidRPr="00CD790A">
              <w:rPr>
                <w:rFonts w:ascii="Times New Roman" w:hAnsi="Times New Roman"/>
                <w:bCs/>
                <w:sz w:val="22"/>
                <w:szCs w:val="22"/>
              </w:rPr>
              <w:t>(3.3) За дата на плащането, се счита датата на заверяване на банковата сметка на Изпълнителя със съответната дължима сума.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(3.4) Плащането по алинея (3.2) става след представяне на следните подписани документи кумулативно:</w:t>
            </w:r>
          </w:p>
          <w:p w:rsidR="00096453" w:rsidRPr="00CD790A" w:rsidRDefault="00096453" w:rsidP="0095329C">
            <w:pPr>
              <w:numPr>
                <w:ilvl w:val="0"/>
                <w:numId w:val="14"/>
              </w:numPr>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Приемо-предавателен протокол за доставка, монтаж и въвеждане в експлоатация на Оборудването/Обзавеждането</w:t>
            </w:r>
            <w:r w:rsidRPr="00CD790A">
              <w:rPr>
                <w:rFonts w:ascii="Times New Roman" w:hAnsi="Times New Roman"/>
                <w:bCs/>
                <w:sz w:val="22"/>
                <w:szCs w:val="22"/>
              </w:rPr>
              <w:footnoteReference w:id="8"/>
            </w:r>
            <w:r w:rsidRPr="00CD790A">
              <w:rPr>
                <w:rFonts w:ascii="Times New Roman" w:hAnsi="Times New Roman"/>
                <w:bCs/>
                <w:sz w:val="22"/>
                <w:szCs w:val="22"/>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Оборудването/Обзавеждането</w:t>
            </w:r>
            <w:r w:rsidRPr="00CD790A">
              <w:rPr>
                <w:rFonts w:ascii="Times New Roman" w:hAnsi="Times New Roman"/>
                <w:bCs/>
                <w:sz w:val="22"/>
                <w:szCs w:val="22"/>
              </w:rPr>
              <w:footnoteReference w:id="9"/>
            </w:r>
            <w:r w:rsidRPr="00CD790A">
              <w:rPr>
                <w:rFonts w:ascii="Times New Roman" w:hAnsi="Times New Roman"/>
                <w:bCs/>
                <w:sz w:val="22"/>
                <w:szCs w:val="22"/>
              </w:rPr>
              <w:t>;</w:t>
            </w:r>
          </w:p>
          <w:p w:rsidR="00096453" w:rsidRPr="00CD790A" w:rsidRDefault="00096453" w:rsidP="006C6159">
            <w:pPr>
              <w:numPr>
                <w:ilvl w:val="0"/>
                <w:numId w:val="14"/>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Протокол за извършено </w:t>
            </w:r>
            <w:r w:rsidR="00DE13F2" w:rsidRPr="00CD790A">
              <w:rPr>
                <w:rFonts w:ascii="Times New Roman" w:hAnsi="Times New Roman"/>
                <w:bCs/>
                <w:sz w:val="22"/>
                <w:szCs w:val="22"/>
              </w:rPr>
              <w:t>тестване на тестването на всички инсталирани продукти (ако е приложимо).</w:t>
            </w:r>
          </w:p>
          <w:p w:rsidR="00DE13F2" w:rsidRPr="00CD790A"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Фактура, издадена от Изпълнителя и подписана от Възложителя или упълномощено от него лице, съдържаща всички законови реквизити и която задължително да включва следния текст: </w:t>
            </w:r>
            <w:r w:rsidR="00DE13F2" w:rsidRPr="00CD790A">
              <w:rPr>
                <w:rFonts w:ascii="Times New Roman" w:hAnsi="Times New Roman"/>
                <w:bCs/>
                <w:sz w:val="22"/>
                <w:szCs w:val="22"/>
              </w:rPr>
              <w:t xml:space="preserve">„Разходът се извършва по Договор за отпускане на безвъзмездна финансова помощ № 08/07/2/0/00600/08.02.2018 г, сключен между община Шабла и </w:t>
            </w:r>
            <w:proofErr w:type="spellStart"/>
            <w:r w:rsidR="00DE13F2" w:rsidRPr="00CD790A">
              <w:rPr>
                <w:rFonts w:ascii="Times New Roman" w:hAnsi="Times New Roman"/>
                <w:bCs/>
                <w:sz w:val="22"/>
                <w:szCs w:val="22"/>
              </w:rPr>
              <w:t>ДФЗ</w:t>
            </w:r>
            <w:proofErr w:type="spellEnd"/>
            <w:r w:rsidR="00DE13F2" w:rsidRPr="00CD790A">
              <w:rPr>
                <w:rFonts w:ascii="Times New Roman" w:hAnsi="Times New Roman"/>
                <w:bCs/>
                <w:sz w:val="22"/>
                <w:szCs w:val="22"/>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p>
          <w:p w:rsidR="00DE13F2" w:rsidRPr="00CD790A" w:rsidRDefault="00DE13F2" w:rsidP="00DE13F2">
            <w:pPr>
              <w:spacing w:line="360" w:lineRule="auto"/>
              <w:jc w:val="both"/>
              <w:rPr>
                <w:rFonts w:ascii="Times New Roman" w:hAnsi="Times New Roman"/>
                <w:bCs/>
                <w:sz w:val="22"/>
                <w:szCs w:val="22"/>
              </w:rPr>
            </w:pPr>
          </w:p>
          <w:p w:rsidR="00096453" w:rsidRPr="00CD790A" w:rsidRDefault="00096453" w:rsidP="00DE13F2">
            <w:pPr>
              <w:tabs>
                <w:tab w:val="left" w:pos="0"/>
              </w:tabs>
              <w:spacing w:after="0" w:line="360" w:lineRule="auto"/>
              <w:ind w:left="1080"/>
              <w:contextualSpacing/>
              <w:jc w:val="center"/>
              <w:rPr>
                <w:rFonts w:ascii="Times New Roman" w:hAnsi="Times New Roman"/>
                <w:b/>
                <w:bCs/>
                <w:sz w:val="22"/>
                <w:szCs w:val="22"/>
              </w:rPr>
            </w:pPr>
            <w:r w:rsidRPr="00CD790A">
              <w:rPr>
                <w:rFonts w:ascii="Times New Roman" w:hAnsi="Times New Roman"/>
                <w:b/>
                <w:bCs/>
                <w:sz w:val="22"/>
                <w:szCs w:val="22"/>
              </w:rPr>
              <w:t>СРОКОВЕ. МЯСТО И УСЛОВИЯ НА ДОСТАВКА. ПРЕМИНАВАНЕ НА СОБСТВЕНОСТТА И РИСКА</w:t>
            </w:r>
          </w:p>
          <w:p w:rsidR="00CD790A" w:rsidRDefault="00CD790A" w:rsidP="00096453">
            <w:pPr>
              <w:suppressAutoHyphens/>
              <w:spacing w:after="0" w:line="360" w:lineRule="auto"/>
              <w:jc w:val="both"/>
              <w:rPr>
                <w:rFonts w:ascii="Times New Roman" w:hAnsi="Times New Roman"/>
                <w:bCs/>
                <w:sz w:val="22"/>
                <w:szCs w:val="22"/>
              </w:rPr>
            </w:pPr>
          </w:p>
          <w:p w:rsidR="00096453" w:rsidRPr="00CD790A" w:rsidRDefault="00096453" w:rsidP="00096453">
            <w:pPr>
              <w:suppressAutoHyphens/>
              <w:spacing w:after="0" w:line="360" w:lineRule="auto"/>
              <w:jc w:val="both"/>
              <w:rPr>
                <w:rFonts w:ascii="Times New Roman" w:hAnsi="Times New Roman"/>
                <w:b/>
                <w:bCs/>
                <w:sz w:val="22"/>
                <w:szCs w:val="22"/>
              </w:rPr>
            </w:pPr>
            <w:r w:rsidRPr="00CD790A">
              <w:rPr>
                <w:rFonts w:ascii="Times New Roman" w:hAnsi="Times New Roman"/>
                <w:b/>
                <w:bCs/>
                <w:sz w:val="22"/>
                <w:szCs w:val="22"/>
              </w:rPr>
              <w:t>Член 4. Срокове и място на доставка</w:t>
            </w:r>
          </w:p>
          <w:p w:rsidR="00096453" w:rsidRPr="00CD790A" w:rsidRDefault="00096453" w:rsidP="00294DF8">
            <w:pPr>
              <w:spacing w:line="360" w:lineRule="auto"/>
              <w:jc w:val="both"/>
              <w:rPr>
                <w:rFonts w:ascii="Times New Roman" w:hAnsi="Times New Roman"/>
                <w:bCs/>
                <w:sz w:val="22"/>
                <w:szCs w:val="22"/>
              </w:rPr>
            </w:pPr>
            <w:r w:rsidRPr="00CD790A">
              <w:rPr>
                <w:rFonts w:ascii="Times New Roman" w:hAnsi="Times New Roman"/>
                <w:bCs/>
                <w:sz w:val="22"/>
                <w:szCs w:val="22"/>
              </w:rPr>
              <w:lastRenderedPageBreak/>
              <w:t xml:space="preserve">(4.1) Настоящият Договор влиза в сила от датата на подписването му от двете страни. Срокът за изпълнение предмета на договора е </w:t>
            </w:r>
            <w:r w:rsidR="00294DF8" w:rsidRPr="00CD790A">
              <w:rPr>
                <w:rFonts w:ascii="Times New Roman" w:hAnsi="Times New Roman"/>
                <w:bCs/>
                <w:sz w:val="22"/>
                <w:szCs w:val="22"/>
              </w:rPr>
              <w:t>до 3 месеца, считано от датата на Възлагателното писмо към Изпълнителя на обособената позиция.</w:t>
            </w:r>
            <w:r w:rsidRPr="00CD790A">
              <w:rPr>
                <w:rFonts w:ascii="Times New Roman" w:hAnsi="Times New Roman"/>
                <w:bCs/>
                <w:sz w:val="22"/>
                <w:szCs w:val="22"/>
              </w:rPr>
              <w:t xml:space="preserve"> Срокът на настоящия Договор изтича след изтичането на по-късния измежду срока на гаранцията и срока на гаранционното обслужване на Оборудването/Обзавеждането</w:t>
            </w:r>
            <w:r w:rsidRPr="00CD790A">
              <w:rPr>
                <w:rFonts w:ascii="Times New Roman" w:hAnsi="Times New Roman"/>
                <w:bCs/>
                <w:sz w:val="22"/>
                <w:szCs w:val="22"/>
              </w:rPr>
              <w:footnoteReference w:id="10"/>
            </w:r>
            <w:r w:rsidRPr="00CD790A">
              <w:rPr>
                <w:rFonts w:ascii="Times New Roman" w:hAnsi="Times New Roman"/>
                <w:bCs/>
                <w:sz w:val="22"/>
                <w:szCs w:val="22"/>
              </w:rPr>
              <w:t xml:space="preserve">, предмет на Договора. </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(4.2) Срокът за доставката, монтажа и въвеждането в експлоатация на Оборудването/Обзавеждането</w:t>
            </w:r>
            <w:r w:rsidRPr="00CD790A">
              <w:rPr>
                <w:rFonts w:ascii="Times New Roman" w:hAnsi="Times New Roman"/>
                <w:bCs/>
                <w:sz w:val="22"/>
                <w:szCs w:val="22"/>
              </w:rPr>
              <w:footnoteReference w:id="11"/>
            </w:r>
            <w:r w:rsidRPr="00CD790A">
              <w:rPr>
                <w:rFonts w:ascii="Times New Roman" w:hAnsi="Times New Roman"/>
                <w:bCs/>
                <w:sz w:val="22"/>
                <w:szCs w:val="22"/>
              </w:rPr>
              <w:t xml:space="preserve"> е </w:t>
            </w:r>
            <w:r w:rsidR="00294DF8" w:rsidRPr="00CD790A">
              <w:rPr>
                <w:rFonts w:ascii="Times New Roman" w:hAnsi="Times New Roman"/>
                <w:bCs/>
                <w:sz w:val="22"/>
                <w:szCs w:val="22"/>
              </w:rPr>
              <w:t>до 3 месеца</w:t>
            </w:r>
            <w:r w:rsidRPr="00CD790A">
              <w:rPr>
                <w:rFonts w:ascii="Times New Roman" w:hAnsi="Times New Roman"/>
                <w:bCs/>
                <w:sz w:val="22"/>
                <w:szCs w:val="22"/>
              </w:rPr>
              <w:t>, считано от Възлагателното писмо на Възложителя.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(4.3) Срокът за </w:t>
            </w:r>
            <w:r w:rsidR="00BA75EA" w:rsidRPr="00CD790A">
              <w:rPr>
                <w:rFonts w:ascii="Times New Roman" w:hAnsi="Times New Roman"/>
                <w:bCs/>
                <w:sz w:val="22"/>
                <w:szCs w:val="22"/>
              </w:rPr>
              <w:t xml:space="preserve">тестване на всички инсталирани продукти </w:t>
            </w:r>
            <w:r w:rsidRPr="00CD790A">
              <w:rPr>
                <w:rFonts w:ascii="Times New Roman" w:hAnsi="Times New Roman"/>
                <w:bCs/>
                <w:sz w:val="22"/>
                <w:szCs w:val="22"/>
              </w:rPr>
              <w:t>е 5 (пет) календарни дни, считано от датата на доставка</w:t>
            </w:r>
            <w:r w:rsidR="00BA75EA" w:rsidRPr="00CD790A">
              <w:rPr>
                <w:rFonts w:ascii="Times New Roman" w:hAnsi="Times New Roman"/>
                <w:bCs/>
                <w:sz w:val="22"/>
                <w:szCs w:val="22"/>
              </w:rPr>
              <w:t>та</w:t>
            </w:r>
            <w:r w:rsidRPr="00CD790A">
              <w:rPr>
                <w:rFonts w:ascii="Times New Roman" w:hAnsi="Times New Roman"/>
                <w:bCs/>
                <w:sz w:val="22"/>
                <w:szCs w:val="22"/>
              </w:rPr>
              <w:t>, отбелязана в Приемо-предавателния протокол по алинея (3.4), точка (i)</w:t>
            </w:r>
            <w:r w:rsidRPr="00CD790A">
              <w:rPr>
                <w:rFonts w:ascii="Times New Roman" w:hAnsi="Times New Roman"/>
                <w:bCs/>
                <w:sz w:val="22"/>
                <w:szCs w:val="22"/>
              </w:rPr>
              <w:footnoteReference w:id="12"/>
            </w:r>
            <w:r w:rsidRPr="00CD790A">
              <w:rPr>
                <w:rFonts w:ascii="Times New Roman" w:hAnsi="Times New Roman"/>
                <w:bCs/>
                <w:sz w:val="22"/>
                <w:szCs w:val="22"/>
              </w:rPr>
              <w:t>.</w:t>
            </w:r>
            <w:r w:rsidR="00BA75EA" w:rsidRPr="00CD790A">
              <w:rPr>
                <w:rFonts w:ascii="Times New Roman" w:hAnsi="Times New Roman"/>
                <w:bCs/>
                <w:sz w:val="22"/>
                <w:szCs w:val="22"/>
              </w:rPr>
              <w:t>, в рамките на общия срок за изпълнение на договора.</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(4.4) Гаранционният срок на Оборудването/Обзавеждането</w:t>
            </w:r>
            <w:r w:rsidRPr="00CD790A">
              <w:rPr>
                <w:rFonts w:ascii="Times New Roman" w:hAnsi="Times New Roman"/>
                <w:bCs/>
                <w:sz w:val="22"/>
                <w:szCs w:val="22"/>
              </w:rPr>
              <w:footnoteReference w:id="13"/>
            </w:r>
            <w:r w:rsidRPr="00CD790A">
              <w:rPr>
                <w:rFonts w:ascii="Times New Roman" w:hAnsi="Times New Roman"/>
                <w:bCs/>
                <w:sz w:val="22"/>
                <w:szCs w:val="22"/>
              </w:rPr>
              <w:t xml:space="preserve"> е ...................... (................) месеца, считано от ..................... (.........................), съгласно Техническото предложение на Изпълнителя.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(4.5) Изпълнителят е длъжен да извършва гаранционно обслужване на доставеното Оборудването/Обзавеждането</w:t>
            </w:r>
            <w:r w:rsidRPr="00CD790A">
              <w:rPr>
                <w:rFonts w:ascii="Times New Roman" w:hAnsi="Times New Roman"/>
                <w:bCs/>
                <w:sz w:val="22"/>
                <w:szCs w:val="22"/>
              </w:rPr>
              <w:footnoteReference w:id="14"/>
            </w:r>
            <w:r w:rsidRPr="00CD790A">
              <w:rPr>
                <w:rFonts w:ascii="Times New Roman" w:hAnsi="Times New Roman"/>
                <w:bCs/>
                <w:sz w:val="22"/>
                <w:szCs w:val="22"/>
              </w:rPr>
              <w:t>, в рамките на гаранционния срок по предходната алинея (4.4).</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(4.6) Мястото на доставка е</w:t>
            </w:r>
            <w:r w:rsidR="00BA75EA" w:rsidRPr="00CD790A">
              <w:rPr>
                <w:rFonts w:ascii="Times New Roman" w:hAnsi="Times New Roman"/>
                <w:bCs/>
                <w:sz w:val="22"/>
                <w:szCs w:val="22"/>
              </w:rPr>
              <w:t xml:space="preserve"> съгласно посоченото в Техническата спецификация.</w:t>
            </w:r>
          </w:p>
          <w:p w:rsidR="00FF4642" w:rsidRPr="00CD790A" w:rsidRDefault="00FF4642"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
                <w:bCs/>
                <w:sz w:val="22"/>
                <w:szCs w:val="22"/>
              </w:rPr>
            </w:pPr>
            <w:r w:rsidRPr="00CD790A">
              <w:rPr>
                <w:rFonts w:ascii="Times New Roman" w:hAnsi="Times New Roman"/>
                <w:b/>
                <w:bCs/>
                <w:sz w:val="22"/>
                <w:szCs w:val="22"/>
              </w:rPr>
              <w:t>Член 5. Условия на доставка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Оборудването/Обзавеждането</w:t>
            </w:r>
            <w:r w:rsidRPr="00CD790A">
              <w:rPr>
                <w:rFonts w:ascii="Times New Roman" w:hAnsi="Times New Roman"/>
                <w:bCs/>
                <w:sz w:val="22"/>
                <w:szCs w:val="22"/>
              </w:rPr>
              <w:footnoteReference w:id="15"/>
            </w:r>
            <w:r w:rsidRPr="00CD790A">
              <w:rPr>
                <w:rFonts w:ascii="Times New Roman" w:hAnsi="Times New Roman"/>
                <w:bCs/>
                <w:sz w:val="22"/>
                <w:szCs w:val="22"/>
              </w:rPr>
              <w:t>, предмет на доставка,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(5.1.2) Изпълнителят предава Оборудването/Обзавеждането</w:t>
            </w:r>
            <w:r w:rsidRPr="00CD790A">
              <w:rPr>
                <w:rFonts w:ascii="Times New Roman" w:hAnsi="Times New Roman"/>
                <w:bCs/>
                <w:sz w:val="22"/>
                <w:szCs w:val="22"/>
              </w:rPr>
              <w:footnoteReference w:id="16"/>
            </w:r>
            <w:r w:rsidRPr="00CD790A">
              <w:rPr>
                <w:rFonts w:ascii="Times New Roman" w:hAnsi="Times New Roman"/>
                <w:bCs/>
                <w:sz w:val="22"/>
                <w:szCs w:val="22"/>
              </w:rPr>
              <w:t xml:space="preserve"> на упълномощен представител на Възложителя. За съответствието на доставеното Оборудване/Обзавеждане</w:t>
            </w:r>
            <w:r w:rsidRPr="00CD790A">
              <w:rPr>
                <w:rFonts w:ascii="Times New Roman" w:hAnsi="Times New Roman"/>
                <w:bCs/>
                <w:sz w:val="22"/>
                <w:szCs w:val="22"/>
              </w:rPr>
              <w:footnoteReference w:id="17"/>
            </w:r>
            <w:r w:rsidRPr="00CD790A">
              <w:rPr>
                <w:rFonts w:ascii="Times New Roman" w:hAnsi="Times New Roman"/>
                <w:bCs/>
                <w:sz w:val="22"/>
                <w:szCs w:val="22"/>
              </w:rPr>
              <w:t xml:space="preserve"> и приемането му по вид, </w:t>
            </w:r>
            <w:r w:rsidRPr="00CD790A">
              <w:rPr>
                <w:rFonts w:ascii="Times New Roman" w:hAnsi="Times New Roman"/>
                <w:bCs/>
                <w:sz w:val="22"/>
                <w:szCs w:val="22"/>
              </w:rPr>
              <w:lastRenderedPageBreak/>
              <w:t>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„Несъответствия“ (недостатъци, дефекти, повреди, липси и/или несъответствия на доставеното Оборудване/Обзавеждане</w:t>
            </w:r>
            <w:r w:rsidRPr="00CD790A">
              <w:rPr>
                <w:rFonts w:ascii="Times New Roman" w:hAnsi="Times New Roman"/>
                <w:bCs/>
                <w:sz w:val="22"/>
                <w:szCs w:val="22"/>
              </w:rPr>
              <w:footnoteReference w:id="18"/>
            </w:r>
            <w:r w:rsidRPr="00CD790A">
              <w:rPr>
                <w:rFonts w:ascii="Times New Roman" w:hAnsi="Times New Roman"/>
                <w:bCs/>
                <w:sz w:val="22"/>
                <w:szCs w:val="22"/>
              </w:rPr>
              <w:t xml:space="preserve">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серийни номера или други идентифициращи Оборудването/Обзавеждането</w:t>
            </w:r>
            <w:r w:rsidRPr="00CD790A">
              <w:rPr>
                <w:rFonts w:ascii="Times New Roman" w:hAnsi="Times New Roman"/>
                <w:bCs/>
                <w:sz w:val="22"/>
                <w:szCs w:val="22"/>
              </w:rPr>
              <w:footnoteReference w:id="19"/>
            </w:r>
            <w:r w:rsidRPr="00CD790A">
              <w:rPr>
                <w:rFonts w:ascii="Times New Roman" w:hAnsi="Times New Roman"/>
                <w:bCs/>
                <w:sz w:val="22"/>
                <w:szCs w:val="22"/>
              </w:rPr>
              <w:t xml:space="preserve"> данни, предмет на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(5.1.3) Изпълнителят уведомява Възложителя писмено в срок от 5 (пет) дни предварително за конкретните дати и час, на които ще се извърши доставката. При предаването на Оборудването/Обзавеждането</w:t>
            </w:r>
            <w:r w:rsidRPr="00CD790A">
              <w:rPr>
                <w:rFonts w:ascii="Times New Roman" w:hAnsi="Times New Roman"/>
                <w:bCs/>
                <w:sz w:val="22"/>
                <w:szCs w:val="22"/>
              </w:rPr>
              <w:footnoteReference w:id="20"/>
            </w:r>
            <w:r w:rsidRPr="00CD790A">
              <w:rPr>
                <w:rFonts w:ascii="Times New Roman" w:hAnsi="Times New Roman"/>
                <w:bCs/>
                <w:sz w:val="22"/>
                <w:szCs w:val="22"/>
              </w:rPr>
              <w:t>, Изпълнителят осигурява на Възложителя необходимото според обстоятелствата време да я прегледа за явни Несъответствия.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(5.1.4)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Оборудването/Обзавеждането</w:t>
            </w:r>
            <w:r w:rsidRPr="00CD790A">
              <w:rPr>
                <w:rFonts w:ascii="Times New Roman" w:hAnsi="Times New Roman"/>
                <w:bCs/>
                <w:sz w:val="22"/>
                <w:szCs w:val="22"/>
              </w:rPr>
              <w:footnoteReference w:id="21"/>
            </w:r>
            <w:r w:rsidRPr="00CD790A">
              <w:rPr>
                <w:rFonts w:ascii="Times New Roman" w:hAnsi="Times New Roman"/>
                <w:bCs/>
                <w:sz w:val="22"/>
                <w:szCs w:val="22"/>
              </w:rPr>
              <w:t xml:space="preserve"> с повече от 10 (десет)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Оборудването/Обзавеждането</w:t>
            </w:r>
            <w:r w:rsidRPr="00CD790A">
              <w:rPr>
                <w:rFonts w:ascii="Times New Roman" w:hAnsi="Times New Roman"/>
                <w:bCs/>
                <w:sz w:val="22"/>
                <w:szCs w:val="22"/>
              </w:rPr>
              <w:footnoteReference w:id="22"/>
            </w:r>
            <w:r w:rsidRPr="00CD790A">
              <w:rPr>
                <w:rFonts w:ascii="Times New Roman" w:hAnsi="Times New Roman"/>
                <w:bCs/>
                <w:sz w:val="22"/>
                <w:szCs w:val="22"/>
              </w:rPr>
              <w:t>. Приемането на доставката на Оборудването/Обзавеждането</w:t>
            </w:r>
            <w:r w:rsidRPr="00CD790A">
              <w:rPr>
                <w:rFonts w:ascii="Times New Roman" w:hAnsi="Times New Roman"/>
                <w:bCs/>
                <w:sz w:val="22"/>
                <w:szCs w:val="22"/>
              </w:rPr>
              <w:footnoteReference w:id="23"/>
            </w:r>
            <w:r w:rsidRPr="00CD790A">
              <w:rPr>
                <w:rFonts w:ascii="Times New Roman" w:hAnsi="Times New Roman"/>
                <w:bCs/>
                <w:sz w:val="22"/>
                <w:szCs w:val="22"/>
              </w:rPr>
              <w:t xml:space="preserve"> с Приемо-предавателния протокол няма отношение към установените впоследствие в гаранционния срок Несъответствия.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 но не по-</w:t>
            </w:r>
            <w:r w:rsidRPr="00CD790A">
              <w:rPr>
                <w:rFonts w:ascii="Times New Roman" w:hAnsi="Times New Roman"/>
                <w:bCs/>
                <w:sz w:val="22"/>
                <w:szCs w:val="22"/>
              </w:rPr>
              <w:lastRenderedPageBreak/>
              <w:t>късно от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Оборудване/Обзавеждане</w:t>
            </w:r>
            <w:r w:rsidRPr="00CD790A">
              <w:rPr>
                <w:rFonts w:ascii="Times New Roman" w:hAnsi="Times New Roman"/>
                <w:bCs/>
                <w:sz w:val="22"/>
                <w:szCs w:val="22"/>
              </w:rPr>
              <w:footnoteReference w:id="24"/>
            </w:r>
            <w:r w:rsidRPr="00CD790A">
              <w:rPr>
                <w:rFonts w:ascii="Times New Roman" w:hAnsi="Times New Roman"/>
                <w:bCs/>
                <w:sz w:val="22"/>
                <w:szCs w:val="22"/>
              </w:rPr>
              <w:t xml:space="preserve">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(десет) дни. </w:t>
            </w:r>
          </w:p>
          <w:p w:rsidR="00096453" w:rsidRPr="00CD790A" w:rsidRDefault="00096453" w:rsidP="00096453">
            <w:pPr>
              <w:tabs>
                <w:tab w:val="left" w:pos="0"/>
              </w:tabs>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(5.1.8) 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(5.2) Монтаж </w:t>
            </w:r>
          </w:p>
          <w:p w:rsidR="00845653" w:rsidRDefault="00096453" w:rsidP="00DB2048">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приключи изпълнението на всички дейности свързани с монтажа (инсталацията) и въвеждане в експлоатация на Оборудването/Обзавеждането</w:t>
            </w:r>
            <w:r w:rsidRPr="00CD790A">
              <w:rPr>
                <w:rFonts w:ascii="Times New Roman" w:hAnsi="Times New Roman"/>
                <w:bCs/>
                <w:sz w:val="22"/>
                <w:szCs w:val="22"/>
              </w:rPr>
              <w:footnoteReference w:id="25"/>
            </w:r>
            <w:r w:rsidRPr="00CD790A">
              <w:rPr>
                <w:rFonts w:ascii="Times New Roman" w:hAnsi="Times New Roman"/>
                <w:bCs/>
                <w:sz w:val="22"/>
                <w:szCs w:val="22"/>
              </w:rPr>
              <w:t xml:space="preserve"> в срок от 3 (три) календарни дни, считано от датата на доставката.</w:t>
            </w:r>
          </w:p>
          <w:p w:rsidR="00DB2048" w:rsidRPr="00CD790A" w:rsidRDefault="00DB2048" w:rsidP="00DB2048">
            <w:pPr>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 </w:t>
            </w:r>
            <w:r w:rsidR="00AC1209" w:rsidRPr="00CD790A">
              <w:rPr>
                <w:rFonts w:ascii="Times New Roman" w:hAnsi="Times New Roman"/>
                <w:bCs/>
                <w:sz w:val="22"/>
                <w:szCs w:val="22"/>
              </w:rPr>
              <w:t>Тестване</w:t>
            </w:r>
            <w:r w:rsidRPr="00CD790A">
              <w:rPr>
                <w:rFonts w:ascii="Times New Roman" w:hAnsi="Times New Roman"/>
                <w:bCs/>
                <w:sz w:val="22"/>
                <w:szCs w:val="22"/>
              </w:rPr>
              <w:t xml:space="preserve"> </w:t>
            </w:r>
          </w:p>
          <w:p w:rsidR="00AC1209" w:rsidRPr="00CD790A" w:rsidRDefault="00096453" w:rsidP="00AC1209">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(5.3.1) </w:t>
            </w:r>
            <w:r w:rsidR="00AC1209" w:rsidRPr="00CD790A">
              <w:rPr>
                <w:rFonts w:ascii="Times New Roman" w:hAnsi="Times New Roman"/>
                <w:bCs/>
                <w:sz w:val="22"/>
                <w:szCs w:val="22"/>
              </w:rPr>
              <w:t>Изпълнителят е отговорен за инсталиране и въвеждане в експлоатация на доставеното оборудване/обзавеждане  и за тестването на всички инсталирани продукти. Изпълнителят е длъжен до осигури достатъчен брой специалисти, както и присъствието им на мястото на доставка и инсталиране</w:t>
            </w:r>
            <w:r w:rsidR="00FF4642" w:rsidRPr="00CD790A">
              <w:rPr>
                <w:rFonts w:ascii="Times New Roman" w:hAnsi="Times New Roman"/>
                <w:bCs/>
                <w:sz w:val="22"/>
                <w:szCs w:val="22"/>
              </w:rPr>
              <w:t>, като времето и графикът з</w:t>
            </w:r>
            <w:r w:rsidR="00AC1209" w:rsidRPr="00CD790A">
              <w:rPr>
                <w:rFonts w:ascii="Times New Roman" w:hAnsi="Times New Roman"/>
                <w:bCs/>
                <w:sz w:val="22"/>
                <w:szCs w:val="22"/>
              </w:rPr>
              <w:t xml:space="preserve">а </w:t>
            </w:r>
            <w:r w:rsidR="00FF4642" w:rsidRPr="00CD790A">
              <w:rPr>
                <w:rFonts w:ascii="Times New Roman" w:hAnsi="Times New Roman"/>
                <w:bCs/>
                <w:sz w:val="22"/>
                <w:szCs w:val="22"/>
              </w:rPr>
              <w:t xml:space="preserve">тестване на </w:t>
            </w:r>
            <w:r w:rsidR="00AC1209" w:rsidRPr="00CD790A">
              <w:rPr>
                <w:rFonts w:ascii="Times New Roman" w:hAnsi="Times New Roman"/>
                <w:bCs/>
                <w:sz w:val="22"/>
                <w:szCs w:val="22"/>
              </w:rPr>
              <w:t xml:space="preserve"> </w:t>
            </w:r>
            <w:r w:rsidR="00FF4642" w:rsidRPr="00CD790A">
              <w:rPr>
                <w:rFonts w:ascii="Times New Roman" w:hAnsi="Times New Roman"/>
                <w:bCs/>
                <w:sz w:val="22"/>
                <w:szCs w:val="22"/>
              </w:rPr>
              <w:t xml:space="preserve">инсталираните продукти </w:t>
            </w:r>
            <w:r w:rsidR="00AC1209" w:rsidRPr="00CD790A">
              <w:rPr>
                <w:rFonts w:ascii="Times New Roman" w:hAnsi="Times New Roman"/>
                <w:bCs/>
                <w:sz w:val="22"/>
                <w:szCs w:val="22"/>
              </w:rPr>
              <w:t xml:space="preserve">се съгласуват писмено между Страните.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6.</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98431F">
              <w:rPr>
                <w:rFonts w:ascii="Times New Roman" w:hAnsi="Times New Roman"/>
                <w:b/>
                <w:bCs/>
                <w:sz w:val="22"/>
                <w:szCs w:val="22"/>
              </w:rPr>
              <w:t>Член 7.</w:t>
            </w:r>
            <w:r w:rsidRPr="00CD790A">
              <w:rPr>
                <w:rFonts w:ascii="Times New Roman" w:hAnsi="Times New Roman"/>
                <w:bCs/>
                <w:sz w:val="22"/>
                <w:szCs w:val="22"/>
              </w:rPr>
              <w:t xml:space="preserve"> Преминаване на собствеността и риска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Собствеността и риска от случайно повреждане или погиване на Оборудването/Обзавеждането</w:t>
            </w:r>
            <w:r w:rsidRPr="00CD790A">
              <w:rPr>
                <w:rFonts w:ascii="Times New Roman" w:hAnsi="Times New Roman"/>
                <w:bCs/>
                <w:sz w:val="22"/>
                <w:szCs w:val="22"/>
              </w:rPr>
              <w:footnoteReference w:id="26"/>
            </w:r>
            <w:r w:rsidRPr="00CD790A">
              <w:rPr>
                <w:rFonts w:ascii="Times New Roman" w:hAnsi="Times New Roman"/>
                <w:bCs/>
                <w:sz w:val="22"/>
                <w:szCs w:val="22"/>
              </w:rPr>
              <w:t xml:space="preserve">, предмет на доставка преминава от Изпълнителя върху Възложителя от датата на подписване на приемо-предавателния протокол съгласно алинея (5.1.2), съответно алинея (5.1.4).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FF4642">
            <w:pPr>
              <w:tabs>
                <w:tab w:val="left" w:pos="1980"/>
                <w:tab w:val="left" w:pos="2160"/>
                <w:tab w:val="left" w:pos="2520"/>
                <w:tab w:val="left" w:pos="2880"/>
              </w:tabs>
              <w:spacing w:after="0" w:line="360" w:lineRule="auto"/>
              <w:ind w:left="2700"/>
              <w:contextualSpacing/>
              <w:rPr>
                <w:rFonts w:ascii="Times New Roman" w:hAnsi="Times New Roman"/>
                <w:b/>
                <w:bCs/>
                <w:sz w:val="22"/>
                <w:szCs w:val="22"/>
              </w:rPr>
            </w:pPr>
            <w:r w:rsidRPr="0098431F">
              <w:rPr>
                <w:rFonts w:ascii="Times New Roman" w:hAnsi="Times New Roman"/>
                <w:b/>
                <w:bCs/>
                <w:sz w:val="22"/>
                <w:szCs w:val="22"/>
              </w:rPr>
              <w:t>ПРАВА И ЗАДЪЛЖЕНИЯ НА СТРАНИТЕ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8. Права и задължения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(8.1) Изпълнителят се задължава да достави, инсталира и въведе в експлоатация Оборудването/Обзавеждането</w:t>
            </w:r>
            <w:r w:rsidRPr="00CD790A">
              <w:rPr>
                <w:rFonts w:ascii="Times New Roman" w:hAnsi="Times New Roman"/>
                <w:bCs/>
                <w:sz w:val="22"/>
                <w:szCs w:val="22"/>
              </w:rPr>
              <w:footnoteReference w:id="27"/>
            </w:r>
            <w:r w:rsidRPr="00CD790A">
              <w:rPr>
                <w:rFonts w:ascii="Times New Roman" w:hAnsi="Times New Roman"/>
                <w:bCs/>
                <w:sz w:val="22"/>
                <w:szCs w:val="22"/>
              </w:rPr>
              <w:t>,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(8.3) Изпълнителят се задължава да извършва текуща поддръжка и гаранционно обслужване на Оборудването/Обзавеждането</w:t>
            </w:r>
            <w:r w:rsidRPr="00CD790A">
              <w:rPr>
                <w:rFonts w:ascii="Times New Roman" w:hAnsi="Times New Roman"/>
                <w:bCs/>
                <w:sz w:val="22"/>
                <w:szCs w:val="22"/>
              </w:rPr>
              <w:footnoteReference w:id="28"/>
            </w:r>
            <w:r w:rsidRPr="00CD790A">
              <w:rPr>
                <w:rFonts w:ascii="Times New Roman" w:hAnsi="Times New Roman"/>
                <w:bCs/>
                <w:sz w:val="22"/>
                <w:szCs w:val="22"/>
              </w:rPr>
              <w:t xml:space="preserve">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(8.4) 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Оборудване/Обзавеждане</w:t>
            </w:r>
            <w:r w:rsidRPr="00CD790A">
              <w:rPr>
                <w:rFonts w:ascii="Times New Roman" w:hAnsi="Times New Roman"/>
                <w:bCs/>
                <w:sz w:val="22"/>
                <w:szCs w:val="22"/>
              </w:rPr>
              <w:footnoteReference w:id="29"/>
            </w:r>
            <w:r w:rsidRPr="00CD790A">
              <w:rPr>
                <w:rFonts w:ascii="Times New Roman" w:hAnsi="Times New Roman"/>
                <w:bCs/>
                <w:sz w:val="22"/>
                <w:szCs w:val="22"/>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(8.7) Изпълнителят се задължава да съхранява всички документи по изпълнението на настоящия Договор за период от 5 (пет) години след датата на приключване и отчитане на </w:t>
            </w:r>
            <w:r w:rsidR="00FF4642" w:rsidRPr="00CD790A">
              <w:rPr>
                <w:rFonts w:ascii="Times New Roman" w:hAnsi="Times New Roman"/>
                <w:bCs/>
                <w:sz w:val="22"/>
                <w:szCs w:val="22"/>
              </w:rPr>
              <w:t>проекта</w:t>
            </w:r>
            <w:r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(8.8</w:t>
            </w:r>
            <w:r w:rsidR="00096453" w:rsidRPr="00CD790A">
              <w:rPr>
                <w:rFonts w:ascii="Times New Roman" w:hAnsi="Times New Roman"/>
                <w:bCs/>
                <w:sz w:val="22"/>
                <w:szCs w:val="22"/>
              </w:rPr>
              <w:t xml:space="preserve">)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96453" w:rsidRPr="00CD790A">
                <w:rPr>
                  <w:rFonts w:ascii="Times New Roman" w:hAnsi="Times New Roman"/>
                  <w:bCs/>
                  <w:sz w:val="22"/>
                  <w:szCs w:val="22"/>
                </w:rPr>
                <w:t>чл. 66, ал. 2</w:t>
              </w:r>
            </w:hyperlink>
            <w:r w:rsidR="00096453" w:rsidRPr="00CD790A">
              <w:rPr>
                <w:rFonts w:ascii="Times New Roman" w:hAnsi="Times New Roman"/>
                <w:bCs/>
                <w:sz w:val="22"/>
                <w:szCs w:val="22"/>
              </w:rPr>
              <w:t xml:space="preserve"> и </w:t>
            </w:r>
            <w:hyperlink r:id="rId10" w:anchor="p28982788" w:tgtFrame="_blank" w:history="1">
              <w:r w:rsidR="00096453" w:rsidRPr="00CD790A">
                <w:rPr>
                  <w:rFonts w:ascii="Times New Roman" w:hAnsi="Times New Roman"/>
                  <w:bCs/>
                  <w:sz w:val="22"/>
                  <w:szCs w:val="22"/>
                </w:rPr>
                <w:t>11 ЗОП</w:t>
              </w:r>
            </w:hyperlink>
            <w:r w:rsidR="00096453"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(8.9</w:t>
            </w:r>
            <w:r w:rsidR="00096453" w:rsidRPr="00CD790A">
              <w:rPr>
                <w:rFonts w:ascii="Times New Roman" w:hAnsi="Times New Roman"/>
                <w:bCs/>
                <w:sz w:val="22"/>
                <w:szCs w:val="22"/>
              </w:rPr>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w:t>
            </w:r>
            <w:r w:rsidR="00096453" w:rsidRPr="00CD790A">
              <w:rPr>
                <w:rFonts w:ascii="Times New Roman" w:hAnsi="Times New Roman"/>
                <w:bCs/>
                <w:sz w:val="22"/>
                <w:szCs w:val="22"/>
              </w:rPr>
              <w:lastRenderedPageBreak/>
              <w:t>Договора и на необходимия достъп до помещенията на Възложителя, в които ще се монтира Оборудването/Обзавеждането</w:t>
            </w:r>
            <w:r w:rsidR="00096453" w:rsidRPr="00CD790A">
              <w:rPr>
                <w:rFonts w:ascii="Times New Roman" w:hAnsi="Times New Roman"/>
                <w:bCs/>
                <w:sz w:val="22"/>
                <w:szCs w:val="22"/>
              </w:rPr>
              <w:footnoteReference w:id="30"/>
            </w:r>
            <w:r w:rsidR="00096453" w:rsidRPr="00CD790A">
              <w:rPr>
                <w:rFonts w:ascii="Times New Roman" w:hAnsi="Times New Roman"/>
                <w:bCs/>
                <w:sz w:val="22"/>
                <w:szCs w:val="22"/>
              </w:rPr>
              <w:t>.</w:t>
            </w:r>
          </w:p>
          <w:p w:rsidR="00096453" w:rsidRPr="00CD790A" w:rsidRDefault="00140AB4"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(8.10</w:t>
            </w:r>
            <w:r w:rsidR="00096453" w:rsidRPr="00CD790A">
              <w:rPr>
                <w:rFonts w:ascii="Times New Roman" w:hAnsi="Times New Roman"/>
                <w:bCs/>
                <w:sz w:val="22"/>
                <w:szCs w:val="22"/>
              </w:rPr>
              <w:t xml:space="preserve">) Изпълнителят се задължава да извърши </w:t>
            </w:r>
            <w:r w:rsidR="000C7522" w:rsidRPr="00CD790A">
              <w:rPr>
                <w:rFonts w:ascii="Times New Roman" w:hAnsi="Times New Roman"/>
                <w:bCs/>
                <w:sz w:val="22"/>
                <w:szCs w:val="22"/>
              </w:rPr>
              <w:t>тестване на инсталираните продукти</w:t>
            </w:r>
            <w:r w:rsidR="00096453" w:rsidRPr="00CD790A">
              <w:rPr>
                <w:rFonts w:ascii="Times New Roman" w:hAnsi="Times New Roman"/>
                <w:bCs/>
                <w:sz w:val="22"/>
                <w:szCs w:val="22"/>
              </w:rPr>
              <w:t xml:space="preserve"> в уговорените срокове и график и съгласно договорените условия</w:t>
            </w:r>
            <w:r w:rsidR="00096453" w:rsidRPr="00CD790A">
              <w:rPr>
                <w:rFonts w:ascii="Times New Roman" w:hAnsi="Times New Roman"/>
                <w:bCs/>
                <w:sz w:val="22"/>
                <w:szCs w:val="22"/>
              </w:rPr>
              <w:footnoteReference w:id="31"/>
            </w:r>
            <w:r w:rsidR="00096453" w:rsidRPr="00CD790A">
              <w:rPr>
                <w:rFonts w:ascii="Times New Roman" w:hAnsi="Times New Roman"/>
                <w:bCs/>
                <w:sz w:val="22"/>
                <w:szCs w:val="22"/>
              </w:rPr>
              <w:t>.</w:t>
            </w:r>
          </w:p>
          <w:p w:rsidR="00096453" w:rsidRPr="00CD790A" w:rsidRDefault="00140AB4" w:rsidP="00096453">
            <w:pPr>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(8.11</w:t>
            </w:r>
            <w:r w:rsidR="00096453" w:rsidRPr="00CD790A">
              <w:rPr>
                <w:rFonts w:ascii="Times New Roman" w:hAnsi="Times New Roman"/>
                <w:bCs/>
                <w:sz w:val="22"/>
                <w:szCs w:val="22"/>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Оборудването/Обзавеждането</w:t>
            </w:r>
            <w:r w:rsidR="00096453" w:rsidRPr="00CD790A">
              <w:rPr>
                <w:rFonts w:ascii="Times New Roman" w:hAnsi="Times New Roman"/>
                <w:bCs/>
                <w:sz w:val="22"/>
                <w:szCs w:val="22"/>
              </w:rPr>
              <w:footnoteReference w:id="32"/>
            </w:r>
            <w:r w:rsidR="00096453" w:rsidRPr="00CD790A">
              <w:rPr>
                <w:rFonts w:ascii="Times New Roman" w:hAnsi="Times New Roman"/>
                <w:bCs/>
                <w:sz w:val="22"/>
                <w:szCs w:val="22"/>
              </w:rPr>
              <w:t xml:space="preserve"> в експлоатация.</w:t>
            </w:r>
          </w:p>
          <w:p w:rsidR="00096453" w:rsidRPr="00CD790A" w:rsidRDefault="00140AB4"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(8.12</w:t>
            </w:r>
            <w:r w:rsidR="00096453" w:rsidRPr="00CD790A">
              <w:rPr>
                <w:rFonts w:ascii="Times New Roman" w:hAnsi="Times New Roman"/>
                <w:bCs/>
                <w:sz w:val="22"/>
                <w:szCs w:val="22"/>
              </w:rPr>
              <w:t>) Изпълнителят е длъжен да изпълни настоящия договор с грижата на добър търговец, в съответствие с изискванията на Бюджетната линия. Всички доставени артикули трябва да са нови и нерециклирани с оригинални опаковки.</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w:t>
            </w:r>
            <w:r w:rsidR="00140AB4" w:rsidRPr="00CD790A">
              <w:rPr>
                <w:rFonts w:ascii="Times New Roman" w:hAnsi="Times New Roman"/>
                <w:bCs/>
                <w:sz w:val="22"/>
                <w:szCs w:val="22"/>
              </w:rPr>
              <w:t>3</w:t>
            </w:r>
            <w:r w:rsidRPr="00CD790A">
              <w:rPr>
                <w:rFonts w:ascii="Times New Roman" w:hAnsi="Times New Roman"/>
                <w:bCs/>
                <w:sz w:val="22"/>
                <w:szCs w:val="22"/>
              </w:rPr>
              <w:t xml:space="preserve">) Изпълнителят е длъжен: </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защитава интересите на ВЪЗЛОЖИТЕЛЯ и да действа в съответствие с добрите практики в съответната област и при спазване на изискванията за икономичност, прозрачност, добро управление, устойчивост и недискриминация.</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осигури необходимите финансови, човешки и материални ресурси, необходими за пълното и точно изпълнение на договора.</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Да спазва изискванията за изпълнение на мерките за информация и публичност по </w:t>
            </w:r>
            <w:r w:rsidR="00140AB4" w:rsidRPr="00CD790A">
              <w:rPr>
                <w:rFonts w:ascii="Times New Roman" w:hAnsi="Times New Roman"/>
                <w:bCs/>
                <w:sz w:val="22"/>
                <w:szCs w:val="22"/>
              </w:rPr>
              <w:t>проекта</w:t>
            </w:r>
            <w:r w:rsidRPr="00CD790A">
              <w:rPr>
                <w:rFonts w:ascii="Times New Roman" w:hAnsi="Times New Roman"/>
                <w:bCs/>
                <w:sz w:val="22"/>
                <w:szCs w:val="22"/>
              </w:rPr>
              <w:t xml:space="preserve"> с цел повишаване на прозрачността и информираността на широката обществе</w:t>
            </w:r>
            <w:r w:rsidR="00140AB4" w:rsidRPr="00CD790A">
              <w:rPr>
                <w:rFonts w:ascii="Times New Roman" w:hAnsi="Times New Roman"/>
                <w:bCs/>
                <w:sz w:val="22"/>
                <w:szCs w:val="22"/>
              </w:rPr>
              <w:t>ност и медиите за изпълнението му</w:t>
            </w:r>
            <w:r w:rsidRPr="00CD790A">
              <w:rPr>
                <w:rFonts w:ascii="Times New Roman" w:hAnsi="Times New Roman"/>
                <w:bCs/>
                <w:sz w:val="22"/>
                <w:szCs w:val="22"/>
              </w:rPr>
              <w:t>.</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w:t>
            </w:r>
            <w:r w:rsidRPr="00CD790A">
              <w:rPr>
                <w:rFonts w:ascii="Times New Roman" w:hAnsi="Times New Roman"/>
                <w:bCs/>
                <w:sz w:val="22"/>
                <w:szCs w:val="22"/>
              </w:rPr>
              <w:lastRenderedPageBreak/>
              <w:t>конфликт. По смисъла на настоящия договор „Конфликт на интереси“ е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845653" w:rsidRPr="00CD790A" w:rsidRDefault="00140AB4" w:rsidP="00DB2048">
            <w:pPr>
              <w:spacing w:after="120" w:line="360" w:lineRule="auto"/>
              <w:jc w:val="both"/>
              <w:rPr>
                <w:rFonts w:ascii="Times New Roman" w:hAnsi="Times New Roman"/>
                <w:bCs/>
                <w:sz w:val="22"/>
                <w:szCs w:val="22"/>
              </w:rPr>
            </w:pPr>
            <w:r w:rsidRPr="00CD790A">
              <w:rPr>
                <w:rFonts w:ascii="Times New Roman" w:hAnsi="Times New Roman"/>
                <w:bCs/>
                <w:sz w:val="22"/>
                <w:szCs w:val="22"/>
              </w:rPr>
              <w:t>(8.14</w:t>
            </w:r>
            <w:r w:rsidR="00096453" w:rsidRPr="00CD790A">
              <w:rPr>
                <w:rFonts w:ascii="Times New Roman" w:hAnsi="Times New Roman"/>
                <w:bCs/>
                <w:sz w:val="22"/>
                <w:szCs w:val="22"/>
              </w:rPr>
              <w:t>)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16554F" w:rsidRPr="0098431F">
              <w:rPr>
                <w:rFonts w:ascii="Times New Roman" w:hAnsi="Times New Roman"/>
                <w:b/>
                <w:bCs/>
                <w:sz w:val="22"/>
                <w:szCs w:val="22"/>
              </w:rPr>
              <w:t xml:space="preserve"> </w:t>
            </w:r>
            <w:r w:rsidRPr="0098431F">
              <w:rPr>
                <w:rFonts w:ascii="Times New Roman" w:hAnsi="Times New Roman"/>
                <w:b/>
                <w:bCs/>
                <w:sz w:val="22"/>
                <w:szCs w:val="22"/>
              </w:rPr>
              <w:t>9. Права и задължения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(9.2) Възложителят се задължава да приеме доставката на Оборудването/Обзавеждането</w:t>
            </w:r>
            <w:r w:rsidRPr="00CD790A">
              <w:rPr>
                <w:rFonts w:ascii="Times New Roman" w:hAnsi="Times New Roman"/>
                <w:bCs/>
                <w:sz w:val="22"/>
                <w:szCs w:val="22"/>
              </w:rPr>
              <w:footnoteReference w:id="33"/>
            </w:r>
            <w:r w:rsidRPr="00CD790A">
              <w:rPr>
                <w:rFonts w:ascii="Times New Roman" w:hAnsi="Times New Roman"/>
                <w:bCs/>
                <w:sz w:val="22"/>
                <w:szCs w:val="22"/>
              </w:rPr>
              <w:t>,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му в експлоатация.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(9.3) Възложителят има право да иска от Изпълнителя да изпълни доставката на Оборудването/Обзавеждането</w:t>
            </w:r>
            <w:r w:rsidRPr="00CD790A">
              <w:rPr>
                <w:rFonts w:ascii="Times New Roman" w:hAnsi="Times New Roman"/>
                <w:bCs/>
                <w:sz w:val="22"/>
                <w:szCs w:val="22"/>
              </w:rPr>
              <w:footnoteReference w:id="34"/>
            </w:r>
            <w:r w:rsidRPr="00CD790A">
              <w:rPr>
                <w:rFonts w:ascii="Times New Roman" w:hAnsi="Times New Roman"/>
                <w:bCs/>
                <w:sz w:val="22"/>
                <w:szCs w:val="22"/>
              </w:rPr>
              <w:t xml:space="preserve">  на посочения в алинея (4.7) от Договора адрес, в срок и без отклонения от договорените изисквания.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(9.4) Възложителят се задължава да съдейства при </w:t>
            </w:r>
            <w:r w:rsidR="0016554F" w:rsidRPr="00CD790A">
              <w:rPr>
                <w:rFonts w:ascii="Times New Roman" w:hAnsi="Times New Roman"/>
                <w:bCs/>
                <w:sz w:val="22"/>
                <w:szCs w:val="22"/>
              </w:rPr>
              <w:t xml:space="preserve">тестването на инсталираните продукти, </w:t>
            </w:r>
            <w:r w:rsidRPr="00CD790A">
              <w:rPr>
                <w:rFonts w:ascii="Times New Roman" w:hAnsi="Times New Roman"/>
                <w:bCs/>
                <w:sz w:val="22"/>
                <w:szCs w:val="22"/>
              </w:rPr>
              <w:t xml:space="preserve">като осигурява присъствието </w:t>
            </w:r>
            <w:r w:rsidR="0016554F" w:rsidRPr="00CD790A">
              <w:rPr>
                <w:rFonts w:ascii="Times New Roman" w:hAnsi="Times New Roman"/>
                <w:bCs/>
                <w:sz w:val="22"/>
                <w:szCs w:val="22"/>
              </w:rPr>
              <w:t xml:space="preserve">на своите специалисти </w:t>
            </w:r>
            <w:r w:rsidRPr="00CD790A">
              <w:rPr>
                <w:rFonts w:ascii="Times New Roman" w:hAnsi="Times New Roman"/>
                <w:bCs/>
                <w:sz w:val="22"/>
                <w:szCs w:val="22"/>
              </w:rPr>
              <w:t>в договореното време</w:t>
            </w:r>
            <w:r w:rsidRPr="00CD790A">
              <w:rPr>
                <w:rFonts w:ascii="Times New Roman" w:hAnsi="Times New Roman"/>
                <w:bCs/>
                <w:sz w:val="22"/>
                <w:szCs w:val="22"/>
              </w:rPr>
              <w:footnoteReference w:id="35"/>
            </w:r>
            <w:r w:rsidRPr="00CD790A">
              <w:rPr>
                <w:rFonts w:ascii="Times New Roman" w:hAnsi="Times New Roman"/>
                <w:bCs/>
                <w:sz w:val="22"/>
                <w:szCs w:val="22"/>
              </w:rPr>
              <w:t>.</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(9.6) Възложителят има право на рекламация по отношение на доставеното по Договора Оборудване/Обзавеждане</w:t>
            </w:r>
            <w:r w:rsidRPr="00CD790A">
              <w:rPr>
                <w:rFonts w:ascii="Times New Roman" w:hAnsi="Times New Roman"/>
                <w:bCs/>
                <w:sz w:val="22"/>
                <w:szCs w:val="22"/>
              </w:rPr>
              <w:footnoteReference w:id="36"/>
            </w:r>
            <w:r w:rsidRPr="00CD790A">
              <w:rPr>
                <w:rFonts w:ascii="Times New Roman" w:hAnsi="Times New Roman"/>
                <w:bCs/>
                <w:sz w:val="22"/>
                <w:szCs w:val="22"/>
              </w:rPr>
              <w:t>, както по отношение на монтажа и инсталацията му при условията посочени в настоящия Договор и съгласно гаранционните условия.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(9.7) Възложителят има право да изисква от Изпълнителя замяната на несъответстващото с Техническите спецификации и/или дефектно Оборудване/Обзавеждане</w:t>
            </w:r>
            <w:r w:rsidRPr="00CD790A">
              <w:rPr>
                <w:rFonts w:ascii="Times New Roman" w:hAnsi="Times New Roman"/>
                <w:bCs/>
                <w:sz w:val="22"/>
                <w:szCs w:val="22"/>
              </w:rPr>
              <w:footnoteReference w:id="37"/>
            </w:r>
            <w:r w:rsidRPr="00CD790A">
              <w:rPr>
                <w:rFonts w:ascii="Times New Roman" w:hAnsi="Times New Roman"/>
                <w:bCs/>
                <w:sz w:val="22"/>
                <w:szCs w:val="22"/>
              </w:rPr>
              <w:t xml:space="preserve"> и/или негови компоненти, както и отстраняване на недостатъците, по реда и в сроковете, определени в настоящия Договор.</w:t>
            </w:r>
          </w:p>
          <w:p w:rsidR="00096453" w:rsidRPr="00096453"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96453">
              <w:rPr>
                <w:rFonts w:ascii="Times New Roman" w:hAnsi="Times New Roman"/>
                <w:bCs/>
                <w:sz w:val="22"/>
                <w:szCs w:val="22"/>
              </w:rPr>
              <w:t>.</w:t>
            </w:r>
          </w:p>
          <w:p w:rsidR="00096453" w:rsidRPr="00CD790A" w:rsidRDefault="00096453" w:rsidP="00096453">
            <w:pPr>
              <w:tabs>
                <w:tab w:val="left" w:pos="8094"/>
              </w:tabs>
              <w:spacing w:after="0" w:line="360" w:lineRule="auto"/>
              <w:jc w:val="both"/>
              <w:rPr>
                <w:rFonts w:ascii="Times New Roman" w:hAnsi="Times New Roman"/>
                <w:bCs/>
                <w:sz w:val="22"/>
                <w:szCs w:val="22"/>
              </w:rPr>
            </w:pPr>
            <w:r w:rsidRPr="00CD790A">
              <w:rPr>
                <w:rFonts w:ascii="Times New Roman" w:hAnsi="Times New Roman"/>
                <w:bCs/>
                <w:sz w:val="22"/>
                <w:szCs w:val="22"/>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(9.10) Възложителят е длъжен да следи и осигурява извършването на поддръжка и сервиз на Оборудването/Обзавеждането</w:t>
            </w:r>
            <w:r w:rsidRPr="00CD790A">
              <w:rPr>
                <w:rFonts w:ascii="Times New Roman" w:hAnsi="Times New Roman"/>
                <w:bCs/>
                <w:sz w:val="22"/>
                <w:szCs w:val="22"/>
              </w:rPr>
              <w:footnoteReference w:id="38"/>
            </w:r>
            <w:r w:rsidRPr="00CD790A">
              <w:rPr>
                <w:rFonts w:ascii="Times New Roman" w:hAnsi="Times New Roman"/>
                <w:bCs/>
                <w:sz w:val="22"/>
                <w:szCs w:val="22"/>
              </w:rPr>
              <w:t xml:space="preserve">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BA6F12">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ГАРАНЦИОННА ОТГОВОРНОСТ и ГАРАНЦИОННО ОБСЛУЖВАНЕ</w:t>
            </w:r>
          </w:p>
          <w:p w:rsidR="00096453" w:rsidRPr="0098431F" w:rsidRDefault="00096453" w:rsidP="00096453">
            <w:pPr>
              <w:suppressAutoHyphens/>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10.</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(10.1)Гаранционна отговорност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(10.1.1) Изпълнителят гарантира пълната функционална годност на Оборудването/Обзавеждането</w:t>
            </w:r>
            <w:r w:rsidRPr="00CD790A">
              <w:rPr>
                <w:rFonts w:ascii="Times New Roman" w:hAnsi="Times New Roman"/>
                <w:bCs/>
                <w:sz w:val="22"/>
                <w:szCs w:val="22"/>
              </w:rPr>
              <w:footnoteReference w:id="39"/>
            </w:r>
            <w:r w:rsidRPr="00CD790A">
              <w:rPr>
                <w:rFonts w:ascii="Times New Roman" w:hAnsi="Times New Roman"/>
                <w:bCs/>
                <w:sz w:val="22"/>
                <w:szCs w:val="22"/>
              </w:rPr>
              <w:t xml:space="preserve">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(10.1.2) В рамките на гаранционния срок Изпълнителят отстранява със свои сили и средства всички Несъответствия на Оборудването/Обзавеждането</w:t>
            </w:r>
            <w:r w:rsidRPr="00CD790A">
              <w:rPr>
                <w:rFonts w:ascii="Times New Roman" w:hAnsi="Times New Roman"/>
                <w:bCs/>
                <w:sz w:val="22"/>
                <w:szCs w:val="22"/>
              </w:rPr>
              <w:footnoteReference w:id="40"/>
            </w:r>
            <w:r w:rsidRPr="00CD790A">
              <w:rPr>
                <w:rFonts w:ascii="Times New Roman" w:hAnsi="Times New Roman"/>
                <w:bCs/>
                <w:sz w:val="22"/>
                <w:szCs w:val="22"/>
              </w:rPr>
              <w:t>, съответно подменя дефектирали части и/или компоненти с нови, съгласно гаранционните условия и Техническото предложение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(10.1.3)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дни, от получаване на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(10.1.4) Изпълнителят се задължава да отстрани настъпила повреда в срок от 10 (десет) дни или по-кратък, считано от датата на констатирането на повредата.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(10.2) Гаранционно (сервизно) обслужване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(10.2.1) Изпълнителят се задължава да осигури на Възложителя гаранционно (сервизно) обслужване на </w:t>
            </w:r>
            <w:r w:rsidRPr="00CD790A">
              <w:rPr>
                <w:rFonts w:ascii="Times New Roman" w:hAnsi="Times New Roman"/>
                <w:bCs/>
                <w:sz w:val="22"/>
                <w:szCs w:val="22"/>
              </w:rPr>
              <w:lastRenderedPageBreak/>
              <w:t>Оборудването/Обзавеждането</w:t>
            </w:r>
            <w:r w:rsidRPr="00CD790A">
              <w:rPr>
                <w:rFonts w:ascii="Times New Roman" w:hAnsi="Times New Roman"/>
                <w:bCs/>
                <w:sz w:val="22"/>
                <w:szCs w:val="22"/>
              </w:rPr>
              <w:footnoteReference w:id="41"/>
            </w:r>
            <w:r w:rsidRPr="00CD790A">
              <w:rPr>
                <w:rFonts w:ascii="Times New Roman" w:hAnsi="Times New Roman"/>
                <w:bCs/>
                <w:sz w:val="22"/>
                <w:szCs w:val="22"/>
              </w:rPr>
              <w:t xml:space="preserve"> в гаранционния срок. Изпълнителят се задължава да извършва с предимство гаранционното обслужване на Оборудването/Обзавеждането</w:t>
            </w:r>
            <w:r w:rsidRPr="00CD790A">
              <w:rPr>
                <w:rFonts w:ascii="Times New Roman" w:hAnsi="Times New Roman"/>
                <w:bCs/>
                <w:sz w:val="22"/>
                <w:szCs w:val="22"/>
              </w:rPr>
              <w:footnoteReference w:id="42"/>
            </w:r>
            <w:r w:rsidRPr="00CD790A">
              <w:rPr>
                <w:rFonts w:ascii="Times New Roman" w:hAnsi="Times New Roman"/>
                <w:bCs/>
                <w:sz w:val="22"/>
                <w:szCs w:val="22"/>
              </w:rPr>
              <w:t xml:space="preserve"> на Възложителя по време на целия гаранционен период, в срок не по-късно от 10 (десет) дни от постъпване на заявка за обслужване от страна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9511D1">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ГАРАНЦИЯ ЗА ИЗПЪЛНЕНИЕ</w:t>
            </w:r>
          </w:p>
          <w:p w:rsidR="00845653" w:rsidRPr="0098431F" w:rsidRDefault="00845653" w:rsidP="00096453">
            <w:pPr>
              <w:autoSpaceDE w:val="0"/>
              <w:autoSpaceDN w:val="0"/>
              <w:adjustRightInd w:val="0"/>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11. Видове гаранции, размер и форма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 Видове и размер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(11.1.3) Изпълнителят представя документи за внесена гаранция за изпълнение на Договора към датата на сключването му.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(11.2) Форма на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9511D1" w:rsidRPr="00CD790A" w:rsidRDefault="009511D1"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12. Изисквания по отношение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(12.1) Когато гаранцията се представя във вид на парична сума, то тя се внася по следната банкова сметка на Възложителя: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Всички банкови разходи, свързани с преводите на сумата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13. Задържане и освобождаване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(13.1). Възложителят освобождава гаранцията за изпълнение на Договора при следните условия: освобождаване в размер на 30 % (тридесет процента) от стойността на гаранцията по Договора, в срок от 30 (тридесет) дни, след приемане на доставката на Оборудването/Обзавеждането</w:t>
            </w:r>
            <w:r w:rsidRPr="00CD790A">
              <w:rPr>
                <w:rFonts w:ascii="Times New Roman" w:hAnsi="Times New Roman"/>
                <w:bCs/>
                <w:sz w:val="22"/>
                <w:szCs w:val="22"/>
              </w:rPr>
              <w:footnoteReference w:id="43"/>
            </w:r>
            <w:r w:rsidRPr="00CD790A">
              <w:rPr>
                <w:rFonts w:ascii="Times New Roman" w:hAnsi="Times New Roman"/>
                <w:bCs/>
                <w:sz w:val="22"/>
                <w:szCs w:val="22"/>
              </w:rPr>
              <w:t xml:space="preserve"> и подписване на Приемо-предавателния протокол по алинея (5.1.2) съответно по алинея (5.1.4) без забележки и след монтаж и въвеждане в експлоатация, при липса на възражения по изпълнението и при условие, че сумите по гаранциите не са задържани, или не са настъпили условия за задържането им. Останалите 70 % (седемдесет процента) от стойността на гаранцията по Договора са предназначени за обезпечаване на гаранционното поддържане и се освобождават от Възложителя след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(13.2) Възложителят не дължи лихви върху сумите по предоставените гаранции, независимо от формата под която са предоставени.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(13.5) Възложителят има право да задържа от сумите по гаранцията за изпълнение суми равни на размера на начислените </w:t>
            </w:r>
            <w:proofErr w:type="spellStart"/>
            <w:r w:rsidRPr="00CD790A">
              <w:rPr>
                <w:rFonts w:ascii="Times New Roman" w:hAnsi="Times New Roman"/>
                <w:bCs/>
                <w:sz w:val="22"/>
                <w:szCs w:val="22"/>
              </w:rPr>
              <w:t>неустойкии</w:t>
            </w:r>
            <w:proofErr w:type="spellEnd"/>
            <w:r w:rsidRPr="00CD790A">
              <w:rPr>
                <w:rFonts w:ascii="Times New Roman" w:hAnsi="Times New Roman"/>
                <w:bCs/>
                <w:sz w:val="22"/>
                <w:szCs w:val="22"/>
              </w:rPr>
              <w:t xml:space="preserve"> обезщетения по настоящия Договор, поради неизпълнение на задълженията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(13.6) В случай на задържане от Възложителя на суми от гаранциите, Изпълнителят е длъжен в срок до 10 </w:t>
            </w:r>
            <w:r w:rsidRPr="00CD790A">
              <w:rPr>
                <w:rFonts w:ascii="Times New Roman" w:hAnsi="Times New Roman"/>
                <w:bCs/>
                <w:sz w:val="22"/>
                <w:szCs w:val="22"/>
              </w:rPr>
              <w:lastRenderedPageBreak/>
              <w:t xml:space="preserve">(десет)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CD790A">
              <w:rPr>
                <w:rFonts w:ascii="Times New Roman" w:hAnsi="Times New Roman"/>
                <w:bCs/>
                <w:sz w:val="22"/>
                <w:szCs w:val="22"/>
              </w:rPr>
              <w:t>дозастрахова</w:t>
            </w:r>
            <w:proofErr w:type="spellEnd"/>
            <w:r w:rsidRPr="00CD790A">
              <w:rPr>
                <w:rFonts w:ascii="Times New Roman" w:hAnsi="Times New Roman"/>
                <w:bCs/>
                <w:sz w:val="22"/>
                <w:szCs w:val="22"/>
              </w:rPr>
              <w:t xml:space="preserve"> отговорността си до размера в алинея (11.1).</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E33855">
            <w:pPr>
              <w:tabs>
                <w:tab w:val="left" w:pos="0"/>
              </w:tabs>
              <w:spacing w:after="0" w:line="360" w:lineRule="auto"/>
              <w:ind w:left="90"/>
              <w:contextualSpacing/>
              <w:jc w:val="center"/>
              <w:rPr>
                <w:rFonts w:ascii="Times New Roman" w:hAnsi="Times New Roman"/>
                <w:b/>
                <w:bCs/>
                <w:sz w:val="22"/>
                <w:szCs w:val="22"/>
              </w:rPr>
            </w:pPr>
            <w:r w:rsidRPr="0098431F">
              <w:rPr>
                <w:rFonts w:ascii="Times New Roman" w:hAnsi="Times New Roman"/>
                <w:b/>
                <w:bCs/>
                <w:sz w:val="22"/>
                <w:szCs w:val="22"/>
              </w:rPr>
              <w:t>НЕУСТОЙКИ</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0,1%от общата цена на Договора по алинея  (2.1) за всеки </w:t>
            </w:r>
            <w:r w:rsidR="00E33855" w:rsidRPr="00CD790A">
              <w:rPr>
                <w:rFonts w:ascii="Times New Roman" w:hAnsi="Times New Roman"/>
                <w:bCs/>
                <w:sz w:val="22"/>
                <w:szCs w:val="22"/>
              </w:rPr>
              <w:t>просрочен ден, но не повече от 10</w:t>
            </w:r>
            <w:r w:rsidRPr="00CD790A">
              <w:rPr>
                <w:rFonts w:ascii="Times New Roman" w:hAnsi="Times New Roman"/>
                <w:bCs/>
                <w:sz w:val="22"/>
                <w:szCs w:val="22"/>
              </w:rPr>
              <w:t>% от цената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(14.2) При неизпълнение от страна на Изпълнителя на задълженията му за </w:t>
            </w:r>
            <w:r w:rsidR="00E33855" w:rsidRPr="00CD790A">
              <w:rPr>
                <w:rFonts w:ascii="Times New Roman" w:hAnsi="Times New Roman"/>
                <w:bCs/>
                <w:sz w:val="22"/>
                <w:szCs w:val="22"/>
              </w:rPr>
              <w:t>тестване на инсталираните продукти</w:t>
            </w:r>
            <w:r w:rsidRPr="00CD790A">
              <w:rPr>
                <w:rFonts w:ascii="Times New Roman" w:hAnsi="Times New Roman"/>
                <w:bCs/>
                <w:sz w:val="22"/>
                <w:szCs w:val="22"/>
              </w:rPr>
              <w:t>, Изпълнителят д</w:t>
            </w:r>
            <w:r w:rsidR="00E33855" w:rsidRPr="00CD790A">
              <w:rPr>
                <w:rFonts w:ascii="Times New Roman" w:hAnsi="Times New Roman"/>
                <w:bCs/>
                <w:sz w:val="22"/>
                <w:szCs w:val="22"/>
              </w:rPr>
              <w:t>ължи неустойка в размер на 3</w:t>
            </w:r>
            <w:r w:rsidRPr="00CD790A">
              <w:rPr>
                <w:rFonts w:ascii="Times New Roman" w:hAnsi="Times New Roman"/>
                <w:bCs/>
                <w:sz w:val="22"/>
                <w:szCs w:val="22"/>
              </w:rPr>
              <w:t>% (</w:t>
            </w:r>
            <w:r w:rsidR="00E33855" w:rsidRPr="00CD790A">
              <w:rPr>
                <w:rFonts w:ascii="Times New Roman" w:hAnsi="Times New Roman"/>
                <w:bCs/>
                <w:sz w:val="22"/>
                <w:szCs w:val="22"/>
              </w:rPr>
              <w:t>три</w:t>
            </w:r>
            <w:r w:rsidRPr="00CD790A">
              <w:rPr>
                <w:rFonts w:ascii="Times New Roman" w:hAnsi="Times New Roman"/>
                <w:bCs/>
                <w:sz w:val="22"/>
                <w:szCs w:val="22"/>
              </w:rPr>
              <w:t xml:space="preserve"> на сто) от общата цена на Договора по алинея (2.1)</w:t>
            </w:r>
            <w:r w:rsidRPr="00CD790A">
              <w:rPr>
                <w:rFonts w:ascii="Times New Roman" w:hAnsi="Times New Roman"/>
                <w:bCs/>
                <w:sz w:val="22"/>
                <w:szCs w:val="22"/>
              </w:rPr>
              <w:footnoteReference w:id="44"/>
            </w:r>
            <w:r w:rsidRPr="00CD790A">
              <w:rPr>
                <w:rFonts w:ascii="Times New Roman" w:hAnsi="Times New Roman"/>
                <w:bCs/>
                <w:sz w:val="22"/>
                <w:szCs w:val="22"/>
              </w:rPr>
              <w:t>.</w:t>
            </w:r>
          </w:p>
          <w:p w:rsidR="00096453" w:rsidRPr="00CD790A" w:rsidRDefault="00096453" w:rsidP="00096453">
            <w:pPr>
              <w:widowControl w:val="0"/>
              <w:spacing w:after="0" w:line="360" w:lineRule="auto"/>
              <w:jc w:val="both"/>
              <w:rPr>
                <w:rFonts w:ascii="Times New Roman" w:hAnsi="Times New Roman"/>
                <w:bCs/>
                <w:sz w:val="22"/>
                <w:szCs w:val="22"/>
              </w:rPr>
            </w:pPr>
            <w:r w:rsidRPr="00CD790A">
              <w:rPr>
                <w:rFonts w:ascii="Times New Roman" w:hAnsi="Times New Roman"/>
                <w:bCs/>
                <w:sz w:val="22"/>
                <w:szCs w:val="22"/>
              </w:rPr>
              <w:t>(14.3)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w:t>
            </w:r>
            <w:r w:rsidR="00E33855" w:rsidRPr="00CD790A">
              <w:rPr>
                <w:rFonts w:ascii="Times New Roman" w:hAnsi="Times New Roman"/>
                <w:bCs/>
                <w:sz w:val="22"/>
                <w:szCs w:val="22"/>
              </w:rPr>
              <w:t>ожителя, неустойка в размер на 5</w:t>
            </w:r>
            <w:r w:rsidRPr="00CD790A">
              <w:rPr>
                <w:rFonts w:ascii="Times New Roman" w:hAnsi="Times New Roman"/>
                <w:bCs/>
                <w:sz w:val="22"/>
                <w:szCs w:val="22"/>
              </w:rPr>
              <w:t>% (</w:t>
            </w:r>
            <w:r w:rsidR="00E33855" w:rsidRPr="00CD790A">
              <w:rPr>
                <w:rFonts w:ascii="Times New Roman" w:hAnsi="Times New Roman"/>
                <w:bCs/>
                <w:sz w:val="22"/>
                <w:szCs w:val="22"/>
              </w:rPr>
              <w:t>пет</w:t>
            </w:r>
            <w:r w:rsidRPr="00CD790A">
              <w:rPr>
                <w:rFonts w:ascii="Times New Roman" w:hAnsi="Times New Roman"/>
                <w:bCs/>
                <w:sz w:val="22"/>
                <w:szCs w:val="22"/>
              </w:rPr>
              <w:t xml:space="preserve"> на сто) от цената по алинея (2.1.).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(14.4)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20% (двадесет на сто) от стойността на Договора.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(14.6.) Неустойките се заплащат незабавно, при поискване от Възложителя, по следната банкова сметка:</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E33855">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ПОДИЗПЪЛНИТЕЛИ</w:t>
            </w:r>
            <w:r w:rsidRPr="0095329C">
              <w:rPr>
                <w:rFonts w:ascii="Times New Roman" w:hAnsi="Times New Roman"/>
                <w:b/>
                <w:bCs/>
                <w:sz w:val="22"/>
                <w:szCs w:val="22"/>
                <w:vertAlign w:val="superscript"/>
              </w:rPr>
              <w:footnoteReference w:id="45"/>
            </w:r>
          </w:p>
          <w:p w:rsidR="00096453" w:rsidRPr="0098431F" w:rsidRDefault="00096453" w:rsidP="00096453">
            <w:pPr>
              <w:spacing w:after="0" w:line="360" w:lineRule="auto"/>
              <w:ind w:firstLine="567"/>
              <w:jc w:val="both"/>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15. Общи условия приложими към Подизпълнителите</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(15.4) Независимо от използването на подизпълнители, отговорността за изпълнение на настоящия Договор и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96453" w:rsidRPr="00096453" w:rsidRDefault="00096453" w:rsidP="00096453">
            <w:pPr>
              <w:spacing w:after="0" w:line="360" w:lineRule="auto"/>
              <w:ind w:firstLine="567"/>
              <w:jc w:val="both"/>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98431F" w:rsidRPr="0098431F">
              <w:rPr>
                <w:rFonts w:ascii="Times New Roman" w:hAnsi="Times New Roman"/>
                <w:b/>
                <w:bCs/>
                <w:sz w:val="22"/>
                <w:szCs w:val="22"/>
              </w:rPr>
              <w:t xml:space="preserve"> </w:t>
            </w:r>
            <w:r w:rsidRPr="0098431F">
              <w:rPr>
                <w:rFonts w:ascii="Times New Roman" w:hAnsi="Times New Roman"/>
                <w:b/>
                <w:bCs/>
                <w:sz w:val="22"/>
                <w:szCs w:val="22"/>
              </w:rPr>
              <w:t>16. Договори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приложимите клаузи на Договора са задължителни за изпълнение от подизпълнителите;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действията на Подизпълнителите няма да доведат пряко или косвено до неизпълнение на Договора;</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17. Разплащане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(17.3) Към искането по алинея (17.2) Изпълнителят предоставя становище, от което да е видно дали оспорва плащанията или част от тях като недължими.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096453" w:rsidRPr="00CD790A" w:rsidRDefault="00096453" w:rsidP="00096453">
            <w:pPr>
              <w:spacing w:after="0" w:line="360" w:lineRule="auto"/>
              <w:rPr>
                <w:rFonts w:ascii="Times New Roman" w:hAnsi="Times New Roman"/>
                <w:bCs/>
                <w:sz w:val="22"/>
                <w:szCs w:val="22"/>
              </w:rPr>
            </w:pPr>
          </w:p>
          <w:p w:rsidR="00096453" w:rsidRPr="0098431F" w:rsidRDefault="00096453" w:rsidP="00E33855">
            <w:pPr>
              <w:tabs>
                <w:tab w:val="left" w:pos="108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 xml:space="preserve">УСЛОВИЯ ЗА </w:t>
            </w:r>
            <w:r w:rsidR="00CD790A" w:rsidRPr="0098431F">
              <w:rPr>
                <w:rFonts w:ascii="Times New Roman" w:hAnsi="Times New Roman"/>
                <w:b/>
                <w:bCs/>
                <w:sz w:val="22"/>
                <w:szCs w:val="22"/>
              </w:rPr>
              <w:t xml:space="preserve">ИЗМЕНЕНИЕ, </w:t>
            </w:r>
            <w:r w:rsidRPr="0098431F">
              <w:rPr>
                <w:rFonts w:ascii="Times New Roman" w:hAnsi="Times New Roman"/>
                <w:b/>
                <w:bCs/>
                <w:sz w:val="22"/>
                <w:szCs w:val="22"/>
              </w:rPr>
              <w:t>ПРЕКРАТЯВАНЕ И РАЗВАЛЯНЕ НА ДОГОВОРА</w:t>
            </w:r>
          </w:p>
          <w:p w:rsidR="00096453" w:rsidRPr="0098431F" w:rsidRDefault="00096453" w:rsidP="00096453">
            <w:pPr>
              <w:tabs>
                <w:tab w:val="left" w:pos="709"/>
              </w:tabs>
              <w:spacing w:after="0" w:line="360" w:lineRule="auto"/>
              <w:jc w:val="both"/>
              <w:rPr>
                <w:rFonts w:ascii="Times New Roman" w:hAnsi="Times New Roman"/>
                <w:b/>
                <w:bCs/>
                <w:sz w:val="22"/>
                <w:szCs w:val="22"/>
              </w:rPr>
            </w:pPr>
            <w:r w:rsidRPr="0098431F">
              <w:rPr>
                <w:rFonts w:ascii="Times New Roman" w:hAnsi="Times New Roman"/>
                <w:b/>
                <w:bCs/>
                <w:sz w:val="22"/>
                <w:szCs w:val="22"/>
              </w:rPr>
              <w:tab/>
            </w:r>
          </w:p>
          <w:p w:rsidR="0098431F" w:rsidRDefault="00CD790A" w:rsidP="00CD790A">
            <w:pPr>
              <w:spacing w:after="0" w:line="360" w:lineRule="auto"/>
              <w:jc w:val="both"/>
              <w:rPr>
                <w:rFonts w:ascii="Times New Roman" w:hAnsi="Times New Roman"/>
                <w:b/>
                <w:bCs/>
                <w:sz w:val="22"/>
                <w:szCs w:val="22"/>
              </w:rPr>
            </w:pPr>
            <w:r w:rsidRPr="0098431F">
              <w:rPr>
                <w:rFonts w:ascii="Times New Roman" w:hAnsi="Times New Roman"/>
                <w:b/>
                <w:bCs/>
                <w:sz w:val="22"/>
                <w:szCs w:val="22"/>
              </w:rPr>
              <w:lastRenderedPageBreak/>
              <w:t xml:space="preserve">Член 18. </w:t>
            </w:r>
          </w:p>
          <w:p w:rsidR="00CD790A" w:rsidRPr="00CD790A" w:rsidRDefault="00CD790A" w:rsidP="00CD790A">
            <w:pPr>
              <w:spacing w:after="0" w:line="360" w:lineRule="auto"/>
              <w:jc w:val="both"/>
              <w:rPr>
                <w:rFonts w:ascii="Times New Roman" w:hAnsi="Times New Roman"/>
                <w:bCs/>
                <w:sz w:val="22"/>
                <w:szCs w:val="22"/>
              </w:rPr>
            </w:pPr>
            <w:r w:rsidRPr="00CD790A">
              <w:rPr>
                <w:rFonts w:ascii="Times New Roman" w:hAnsi="Times New Roman"/>
                <w:bCs/>
                <w:sz w:val="22"/>
                <w:szCs w:val="22"/>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CD790A"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19.</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w:t>
            </w:r>
            <w:r w:rsidR="00CD790A">
              <w:rPr>
                <w:rFonts w:ascii="Times New Roman" w:hAnsi="Times New Roman"/>
                <w:bCs/>
                <w:sz w:val="22"/>
                <w:szCs w:val="22"/>
              </w:rPr>
              <w:t>9</w:t>
            </w:r>
            <w:r w:rsidRPr="00CD790A">
              <w:rPr>
                <w:rFonts w:ascii="Times New Roman" w:hAnsi="Times New Roman"/>
                <w:bCs/>
                <w:sz w:val="22"/>
                <w:szCs w:val="22"/>
              </w:rPr>
              <w:t>.1) Настоящият Договор се прекратява в следните случаи:</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по взаимно съгласие на Страните, изразено в писмена форма;</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с изтичане на уговорения срок;</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с изпълнение на дейностите по доставка и монтаж на съответните количества и качества на Оборудването/Обзавеждането</w:t>
            </w:r>
            <w:r w:rsidRPr="00CD790A">
              <w:rPr>
                <w:rFonts w:ascii="Times New Roman" w:hAnsi="Times New Roman"/>
                <w:bCs/>
                <w:sz w:val="22"/>
                <w:szCs w:val="22"/>
              </w:rPr>
              <w:footnoteReference w:id="46"/>
            </w:r>
            <w:r w:rsidRPr="00096453">
              <w:rPr>
                <w:rFonts w:ascii="Times New Roman" w:hAnsi="Times New Roman"/>
                <w:bCs/>
                <w:sz w:val="22"/>
                <w:szCs w:val="22"/>
              </w:rPr>
              <w:t>, предмет на настоящия договор;</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 частност, при невъзможност да осигури финансиране за изпълнението на настоящия договор, поради прекратяване на Договор</w:t>
            </w:r>
            <w:r w:rsidR="00E33855" w:rsidRPr="00CD790A">
              <w:rPr>
                <w:rFonts w:ascii="Times New Roman" w:hAnsi="Times New Roman"/>
                <w:bCs/>
                <w:sz w:val="22"/>
                <w:szCs w:val="22"/>
              </w:rPr>
              <w:t>а</w:t>
            </w:r>
            <w:r w:rsidRPr="00CD790A">
              <w:rPr>
                <w:rFonts w:ascii="Times New Roman" w:hAnsi="Times New Roman"/>
                <w:bCs/>
                <w:sz w:val="22"/>
                <w:szCs w:val="22"/>
              </w:rPr>
              <w:t xml:space="preserve"> за предоставяне на безвъзмездна финансова помощ, сключен между Община </w:t>
            </w:r>
            <w:r w:rsidR="00267E7D" w:rsidRPr="00CD790A">
              <w:rPr>
                <w:rFonts w:ascii="Times New Roman" w:hAnsi="Times New Roman"/>
                <w:bCs/>
                <w:sz w:val="22"/>
                <w:szCs w:val="22"/>
              </w:rPr>
              <w:t>Шабла</w:t>
            </w:r>
            <w:r w:rsidRPr="00CD790A">
              <w:rPr>
                <w:rFonts w:ascii="Times New Roman" w:hAnsi="Times New Roman"/>
                <w:bCs/>
                <w:sz w:val="22"/>
                <w:szCs w:val="22"/>
              </w:rPr>
              <w:t xml:space="preserve"> и </w:t>
            </w:r>
            <w:r w:rsidR="00267E7D" w:rsidRPr="00CD790A">
              <w:rPr>
                <w:rFonts w:ascii="Times New Roman" w:hAnsi="Times New Roman"/>
                <w:bCs/>
                <w:sz w:val="22"/>
                <w:szCs w:val="22"/>
              </w:rPr>
              <w:t>финансиращата институция</w:t>
            </w:r>
            <w:r w:rsidRPr="00CD790A">
              <w:rPr>
                <w:rFonts w:ascii="Times New Roman" w:hAnsi="Times New Roman"/>
                <w:bCs/>
                <w:sz w:val="22"/>
                <w:szCs w:val="22"/>
              </w:rPr>
              <w:t>,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5 (пет) дни.</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 xml:space="preserve">.2) Възложителят може да прекрати Договора без предизвестие, с уведомление, изпратено до Изпълнителя: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забава продължила повече от 10 (десет) дни или при пълно неизпълнение на задължението на </w:t>
            </w:r>
            <w:r w:rsidRPr="00CD790A">
              <w:rPr>
                <w:rFonts w:ascii="Times New Roman" w:hAnsi="Times New Roman"/>
                <w:bCs/>
                <w:sz w:val="22"/>
                <w:szCs w:val="22"/>
              </w:rPr>
              <w:lastRenderedPageBreak/>
              <w:t xml:space="preserve">Изпълнителя за въвеждането в експлоатация на </w:t>
            </w:r>
            <w:r w:rsidRPr="00096453">
              <w:rPr>
                <w:rFonts w:ascii="Times New Roman" w:hAnsi="Times New Roman"/>
                <w:bCs/>
                <w:sz w:val="22"/>
                <w:szCs w:val="22"/>
              </w:rPr>
              <w:t>Оборудването/Обзавеждането</w:t>
            </w:r>
            <w:r w:rsidRPr="00CD790A">
              <w:rPr>
                <w:rFonts w:ascii="Times New Roman" w:hAnsi="Times New Roman"/>
                <w:bCs/>
                <w:sz w:val="22"/>
                <w:szCs w:val="22"/>
              </w:rPr>
              <w:footnoteReference w:id="47"/>
            </w:r>
            <w:r w:rsidRPr="00CD790A">
              <w:rPr>
                <w:rFonts w:ascii="Times New Roman" w:hAnsi="Times New Roman"/>
                <w:bCs/>
                <w:sz w:val="22"/>
                <w:szCs w:val="22"/>
              </w:rPr>
              <w:t>, (и/или за обучение на персонала на Възложителя)</w:t>
            </w:r>
            <w:r w:rsidRPr="00CD790A">
              <w:rPr>
                <w:rFonts w:ascii="Times New Roman" w:hAnsi="Times New Roman"/>
                <w:bCs/>
                <w:sz w:val="22"/>
                <w:szCs w:val="22"/>
              </w:rPr>
              <w:footnoteReference w:id="48"/>
            </w:r>
            <w:r w:rsidRPr="00CD790A">
              <w:rPr>
                <w:rFonts w:ascii="Times New Roman" w:hAnsi="Times New Roman"/>
                <w:bCs/>
                <w:sz w:val="22"/>
                <w:szCs w:val="22"/>
              </w:rPr>
              <w:t>;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CD790A">
              <w:rPr>
                <w:rFonts w:ascii="Times New Roman" w:hAnsi="Times New Roman"/>
                <w:bCs/>
                <w:sz w:val="22"/>
                <w:szCs w:val="22"/>
              </w:rPr>
              <w:t xml:space="preserve">;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ако ИЗПЪЛНИТЕЛЯТ бъде обявен в несъстоятелност;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прекратяване с ликвидация на юридическото лице-изпълнител;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констатиран конфликт на интереси;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.5) Възложителят може да развали Договора по реда и при условията предвидени в него или в приложимото законодателство.</w:t>
            </w:r>
          </w:p>
          <w:p w:rsidR="00096453" w:rsidRPr="00096453"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НЕПРЕОДОЛИМА СИЛА</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20</w:t>
            </w:r>
            <w:r w:rsidR="00096453" w:rsidRPr="0098431F">
              <w:rPr>
                <w:rFonts w:ascii="Times New Roman" w:hAnsi="Times New Roman"/>
                <w:b/>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.3) Докато трае непреодолимата сила, изпълнението на задължението се спира.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lastRenderedPageBreak/>
              <w:t>(20</w:t>
            </w:r>
            <w:r w:rsidR="00096453" w:rsidRPr="00CD790A">
              <w:rPr>
                <w:rFonts w:ascii="Times New Roman" w:hAnsi="Times New Roman"/>
                <w:bCs/>
                <w:sz w:val="22"/>
                <w:szCs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6453" w:rsidRPr="00CD790A" w:rsidRDefault="00096453" w:rsidP="00845653">
            <w:pPr>
              <w:spacing w:after="0" w:line="360" w:lineRule="auto"/>
              <w:ind w:firstLine="567"/>
              <w:jc w:val="center"/>
              <w:rPr>
                <w:rFonts w:ascii="Times New Roman" w:hAnsi="Times New Roman"/>
                <w:bCs/>
                <w:sz w:val="22"/>
                <w:szCs w:val="22"/>
              </w:rPr>
            </w:pPr>
          </w:p>
          <w:p w:rsidR="00096453" w:rsidRPr="0098431F" w:rsidRDefault="00096453" w:rsidP="00845653">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КОНФИДЕНЦИАЛНОСТ</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CD790A" w:rsidRPr="0098431F">
              <w:rPr>
                <w:rFonts w:ascii="Times New Roman" w:hAnsi="Times New Roman"/>
                <w:b/>
                <w:bCs/>
                <w:sz w:val="22"/>
                <w:szCs w:val="22"/>
              </w:rPr>
              <w:t xml:space="preserve"> 21</w:t>
            </w:r>
            <w:r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w:t>
            </w:r>
            <w:r w:rsidR="00CD790A">
              <w:rPr>
                <w:rFonts w:ascii="Times New Roman" w:hAnsi="Times New Roman"/>
                <w:bCs/>
                <w:sz w:val="22"/>
                <w:szCs w:val="22"/>
              </w:rPr>
              <w:t>1</w:t>
            </w:r>
            <w:r w:rsidRPr="00CD790A">
              <w:rPr>
                <w:rFonts w:ascii="Times New Roman" w:hAnsi="Times New Roman"/>
                <w:bCs/>
                <w:sz w:val="22"/>
                <w:szCs w:val="22"/>
              </w:rPr>
              <w:t xml:space="preserve">.1) Страните се съгласяват да третират като конфиденциална следната информация, получена при и по повод изпълнението на Договора: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(21</w:t>
            </w:r>
            <w:r w:rsidR="00096453" w:rsidRPr="00CD790A">
              <w:rPr>
                <w:rFonts w:ascii="Times New Roman" w:hAnsi="Times New Roman"/>
                <w:bCs/>
                <w:sz w:val="22"/>
                <w:szCs w:val="22"/>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ДОПЪЛНИТЕЛНИ РАЗПОРЕДБИ</w:t>
            </w: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22</w:t>
            </w:r>
            <w:r w:rsidR="00096453" w:rsidRPr="0098431F">
              <w:rPr>
                <w:rFonts w:ascii="Times New Roman" w:hAnsi="Times New Roman"/>
                <w:b/>
                <w:bCs/>
                <w:sz w:val="22"/>
                <w:szCs w:val="22"/>
              </w:rPr>
              <w:t xml:space="preserve">.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всички неуредени в настоящия Договор въпроси се прилага действащото българско законодателство.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23</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.1) Упълномощени представители на Страните, които могат да приемат и правят изявления по изпълнението на настоящия Договор са: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ВЪЗЛОЖИТЕЛЯ: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096453">
            <w:pPr>
              <w:spacing w:after="0" w:line="360" w:lineRule="auto"/>
              <w:jc w:val="both"/>
              <w:rPr>
                <w:rFonts w:ascii="Times New Roman" w:hAnsi="Times New Roman"/>
                <w:bCs/>
                <w:sz w:val="22"/>
                <w:szCs w:val="22"/>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096453">
            <w:pPr>
              <w:spacing w:after="0" w:line="360" w:lineRule="auto"/>
              <w:jc w:val="both"/>
              <w:rPr>
                <w:rFonts w:ascii="Times New Roman" w:hAnsi="Times New Roman"/>
                <w:bCs/>
                <w:sz w:val="22"/>
                <w:szCs w:val="22"/>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00096453" w:rsidRPr="00CD790A">
              <w:rPr>
                <w:rFonts w:ascii="Times New Roman" w:hAnsi="Times New Roman"/>
                <w:bCs/>
                <w:sz w:val="22"/>
                <w:szCs w:val="22"/>
              </w:rPr>
              <w:lastRenderedPageBreak/>
              <w:t>настоящия член 22 се считат за валидно изпратени и получени от другата Страна.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24</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096453" w:rsidP="00096453">
            <w:pPr>
              <w:tabs>
                <w:tab w:val="left" w:pos="9072"/>
              </w:tabs>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няма право да прехвърля своите права или задължения по настоящия Договор на трети лица, освен в случаите предвидени в ЗОП.</w:t>
            </w:r>
          </w:p>
          <w:p w:rsidR="00096453" w:rsidRPr="00CD790A" w:rsidRDefault="00096453" w:rsidP="00096453">
            <w:pPr>
              <w:tabs>
                <w:tab w:val="left" w:pos="9072"/>
              </w:tabs>
              <w:spacing w:after="0" w:line="360" w:lineRule="auto"/>
              <w:jc w:val="both"/>
              <w:rPr>
                <w:rFonts w:ascii="Times New Roman" w:hAnsi="Times New Roman"/>
                <w:bCs/>
                <w:sz w:val="22"/>
                <w:szCs w:val="22"/>
              </w:rPr>
            </w:pPr>
          </w:p>
          <w:p w:rsidR="00096453" w:rsidRPr="0098431F" w:rsidRDefault="00CD790A" w:rsidP="00096453">
            <w:pPr>
              <w:tabs>
                <w:tab w:val="left" w:pos="9072"/>
              </w:tabs>
              <w:spacing w:after="0" w:line="360" w:lineRule="auto"/>
              <w:jc w:val="both"/>
              <w:rPr>
                <w:rFonts w:ascii="Times New Roman" w:hAnsi="Times New Roman"/>
                <w:b/>
                <w:bCs/>
                <w:sz w:val="22"/>
                <w:szCs w:val="22"/>
              </w:rPr>
            </w:pPr>
            <w:r w:rsidRPr="0098431F">
              <w:rPr>
                <w:rFonts w:ascii="Times New Roman" w:hAnsi="Times New Roman"/>
                <w:b/>
                <w:bCs/>
                <w:sz w:val="22"/>
                <w:szCs w:val="22"/>
              </w:rPr>
              <w:t>Член  25</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tabs>
                <w:tab w:val="left" w:pos="9072"/>
              </w:tabs>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26</w:t>
            </w:r>
            <w:r w:rsidR="00096453"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27</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.1) При подписването на настоящия Договор се представиха следните документи от Изпълнителя</w:t>
            </w:r>
            <w:r w:rsidR="00096453" w:rsidRPr="00CD790A">
              <w:rPr>
                <w:rFonts w:ascii="Times New Roman" w:hAnsi="Times New Roman"/>
                <w:bCs/>
                <w:sz w:val="22"/>
                <w:szCs w:val="22"/>
              </w:rPr>
              <w:footnoteReference w:id="49"/>
            </w:r>
            <w:r w:rsidR="00096453" w:rsidRPr="00CD790A">
              <w:rPr>
                <w:rFonts w:ascii="Times New Roman" w:hAnsi="Times New Roman"/>
                <w:bCs/>
                <w:sz w:val="22"/>
                <w:szCs w:val="22"/>
              </w:rPr>
              <w:t>:</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свидетелство за съдимост;</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по приходите и удостоверение от общината по седалището на възложителя и на участника;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издадено от Агенцията по вписванията. </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за данъчна регистрация и регистрация по БУЛСТАТ или еквивалентни документи </w:t>
            </w:r>
            <w:r w:rsidRPr="00CD790A">
              <w:rPr>
                <w:rFonts w:ascii="Times New Roman" w:hAnsi="Times New Roman"/>
                <w:bCs/>
                <w:sz w:val="22"/>
                <w:szCs w:val="22"/>
              </w:rPr>
              <w:lastRenderedPageBreak/>
              <w:t>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 определената гаранция, която да обезпечи изпълнението на договора;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списък на доставките, които са идентични или сходни с тези на поръчката с посочване на стойностите, датите и получателите, заедно с доказателство за извършената доставка.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.2) Неразделна част от настоящия Договор са следните приложения: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bookmarkStart w:id="3" w:name="_GoBack"/>
            <w:r w:rsidRPr="00CD790A">
              <w:rPr>
                <w:rFonts w:ascii="Times New Roman" w:hAnsi="Times New Roman"/>
                <w:bCs/>
                <w:sz w:val="22"/>
                <w:szCs w:val="22"/>
              </w:rPr>
              <w:t>Приложение № 1 – Техническа спецификация на Възложителя;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2 – Техническо предложение на Изпълнителя;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3 – Ценово предложение на Изпълнителя</w:t>
            </w:r>
            <w:bookmarkEnd w:id="3"/>
            <w:r w:rsidRPr="00CD790A">
              <w:rPr>
                <w:rFonts w:ascii="Times New Roman" w:hAnsi="Times New Roman"/>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.3) Настоящият Договор се подписа в 4 (четири) еднообразни екземпляра – 3 (три) за Възложителя и 1 (един) за Изпълнителя.</w:t>
            </w:r>
          </w:p>
          <w:p w:rsidR="00E764FE" w:rsidRPr="00CD790A" w:rsidRDefault="00E764FE" w:rsidP="009657F9">
            <w:pPr>
              <w:spacing w:line="240" w:lineRule="auto"/>
              <w:jc w:val="both"/>
              <w:rPr>
                <w:rFonts w:ascii="Times New Roman" w:hAnsi="Times New Roman"/>
                <w:bCs/>
                <w:sz w:val="22"/>
                <w:szCs w:val="22"/>
              </w:rPr>
            </w:pPr>
          </w:p>
        </w:tc>
      </w:tr>
      <w:tr w:rsidR="00E764FE" w:rsidRPr="00096453" w:rsidTr="005C6211">
        <w:trPr>
          <w:gridAfter w:val="1"/>
          <w:wAfter w:w="724" w:type="dxa"/>
          <w:tblCellSpacing w:w="0" w:type="dxa"/>
        </w:trPr>
        <w:tc>
          <w:tcPr>
            <w:tcW w:w="3961" w:type="dxa"/>
            <w:tcBorders>
              <w:top w:val="nil"/>
              <w:left w:val="nil"/>
              <w:bottom w:val="nil"/>
              <w:right w:val="nil"/>
            </w:tcBorders>
            <w:shd w:val="clear" w:color="auto" w:fill="FFFFFF"/>
          </w:tcPr>
          <w:p w:rsidR="00E764FE"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lastRenderedPageBreak/>
              <w:t>ВЪЗЛОЖИТЕ</w:t>
            </w:r>
            <w:r w:rsidR="00E764FE" w:rsidRPr="00096453">
              <w:rPr>
                <w:rFonts w:ascii="Times New Roman" w:hAnsi="Times New Roman"/>
                <w:b/>
                <w:color w:val="000000"/>
                <w:sz w:val="22"/>
                <w:szCs w:val="22"/>
              </w:rPr>
              <w:t>Л:</w:t>
            </w:r>
          </w:p>
        </w:tc>
        <w:tc>
          <w:tcPr>
            <w:tcW w:w="0" w:type="auto"/>
            <w:tcBorders>
              <w:top w:val="nil"/>
              <w:left w:val="nil"/>
              <w:bottom w:val="nil"/>
              <w:right w:val="nil"/>
            </w:tcBorders>
            <w:shd w:val="clear" w:color="auto" w:fill="FFFFFF"/>
          </w:tcPr>
          <w:p w:rsidR="00E764FE" w:rsidRPr="00096453" w:rsidRDefault="00E764FE" w:rsidP="007A4E19">
            <w:pPr>
              <w:spacing w:line="276" w:lineRule="auto"/>
              <w:ind w:firstLine="1155"/>
              <w:rPr>
                <w:rFonts w:ascii="Times New Roman" w:hAnsi="Times New Roman"/>
                <w:b/>
                <w:color w:val="000000"/>
                <w:sz w:val="22"/>
                <w:szCs w:val="22"/>
              </w:rPr>
            </w:pPr>
            <w:r w:rsidRPr="00096453">
              <w:rPr>
                <w:rFonts w:ascii="Times New Roman" w:hAnsi="Times New Roman"/>
                <w:b/>
                <w:color w:val="000000"/>
                <w:sz w:val="22"/>
                <w:szCs w:val="22"/>
              </w:rPr>
              <w:t> </w:t>
            </w:r>
          </w:p>
        </w:tc>
        <w:tc>
          <w:tcPr>
            <w:tcW w:w="5452" w:type="dxa"/>
            <w:tcBorders>
              <w:top w:val="nil"/>
              <w:left w:val="nil"/>
              <w:bottom w:val="nil"/>
              <w:right w:val="nil"/>
            </w:tcBorders>
            <w:shd w:val="clear" w:color="auto" w:fill="FFFFFF"/>
          </w:tcPr>
          <w:p w:rsidR="00E764FE" w:rsidRPr="00096453" w:rsidRDefault="00E764FE" w:rsidP="00F419A9">
            <w:pPr>
              <w:spacing w:line="276" w:lineRule="auto"/>
              <w:ind w:firstLine="1155"/>
              <w:rPr>
                <w:rFonts w:ascii="Times New Roman" w:hAnsi="Times New Roman"/>
                <w:b/>
                <w:color w:val="000000"/>
                <w:sz w:val="22"/>
                <w:szCs w:val="22"/>
              </w:rPr>
            </w:pPr>
            <w:r w:rsidRPr="00096453">
              <w:rPr>
                <w:rFonts w:ascii="Times New Roman" w:hAnsi="Times New Roman"/>
                <w:b/>
                <w:color w:val="000000"/>
                <w:sz w:val="22"/>
                <w:szCs w:val="22"/>
              </w:rPr>
              <w:t xml:space="preserve">    ИЗПЪЛНИТЕЛ:</w:t>
            </w:r>
          </w:p>
        </w:tc>
      </w:tr>
    </w:tbl>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5C6211" w:rsidRPr="00096453">
        <w:rPr>
          <w:rFonts w:ascii="Times New Roman" w:hAnsi="Times New Roman"/>
          <w:b/>
          <w:color w:val="000000"/>
          <w:sz w:val="22"/>
          <w:szCs w:val="22"/>
        </w:rPr>
        <w:t xml:space="preserve"> </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Управител</w:t>
      </w: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Съгласували:</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 xml:space="preserve">Изготвил: </w:t>
      </w:r>
    </w:p>
    <w:p w:rsidR="00E764FE" w:rsidRPr="00096453" w:rsidRDefault="00EB6BF2" w:rsidP="005C6211">
      <w:pPr>
        <w:spacing w:line="276" w:lineRule="auto"/>
        <w:rPr>
          <w:rFonts w:ascii="Times New Roman" w:hAnsi="Times New Roman"/>
          <w:sz w:val="22"/>
          <w:szCs w:val="22"/>
          <w:lang w:val="ru-RU"/>
        </w:rPr>
      </w:pPr>
      <w:r w:rsidRPr="00096453">
        <w:rPr>
          <w:rFonts w:ascii="Times New Roman" w:hAnsi="Times New Roman"/>
          <w:b/>
          <w:color w:val="000000"/>
          <w:sz w:val="22"/>
          <w:szCs w:val="22"/>
        </w:rPr>
        <w:t>…………</w:t>
      </w:r>
    </w:p>
    <w:sectPr w:rsidR="00E764FE" w:rsidRPr="00096453" w:rsidSect="00382708">
      <w:headerReference w:type="default" r:id="rId11"/>
      <w:footerReference w:type="default" r:id="rId12"/>
      <w:headerReference w:type="first" r:id="rId13"/>
      <w:footerReference w:type="first" r:id="rId14"/>
      <w:pgSz w:w="11906" w:h="16838" w:code="9"/>
      <w:pgMar w:top="284" w:right="849" w:bottom="426"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1A" w:rsidRDefault="0046451A" w:rsidP="00555924">
      <w:r>
        <w:separator/>
      </w:r>
    </w:p>
  </w:endnote>
  <w:endnote w:type="continuationSeparator" w:id="0">
    <w:p w:rsidR="0046451A" w:rsidRDefault="0046451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10127"/>
    </w:tblGrid>
    <w:tr w:rsidR="00CD790A" w:rsidRPr="00860AC2" w:rsidTr="00966903">
      <w:trPr>
        <w:jc w:val="center"/>
      </w:trPr>
      <w:tc>
        <w:tcPr>
          <w:tcW w:w="10127" w:type="dxa"/>
          <w:tcBorders>
            <w:top w:val="single" w:sz="4" w:space="0" w:color="auto"/>
          </w:tcBorders>
          <w:shd w:val="clear" w:color="auto" w:fill="auto"/>
          <w:vAlign w:val="center"/>
        </w:tcPr>
        <w:p w:rsidR="00382708" w:rsidRPr="00CA5796" w:rsidRDefault="00382708" w:rsidP="00382708">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CA5796">
            <w:rPr>
              <w:rFonts w:ascii="Times New Roman" w:hAnsi="Times New Roman"/>
              <w:i/>
              <w:sz w:val="20"/>
              <w:szCs w:val="20"/>
              <w:lang w:val="ru-RU" w:eastAsia="en-US"/>
            </w:rPr>
            <w:t xml:space="preserve">------------------------------------------------------ </w:t>
          </w:r>
          <w:hyperlink r:id="rId1" w:history="1">
            <w:r w:rsidRPr="00CA5796">
              <w:rPr>
                <w:rFonts w:ascii="Times New Roman" w:hAnsi="Times New Roman"/>
                <w:color w:val="0000FF"/>
                <w:sz w:val="20"/>
                <w:szCs w:val="20"/>
                <w:u w:val="single"/>
                <w:lang w:val="en-US" w:eastAsia="en-US"/>
              </w:rPr>
              <w:t>www</w:t>
            </w:r>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eufunds</w:t>
            </w:r>
            <w:proofErr w:type="spellEnd"/>
            <w:r w:rsidRPr="00CA5796">
              <w:rPr>
                <w:rFonts w:ascii="Times New Roman" w:hAnsi="Times New Roman"/>
                <w:color w:val="0000FF"/>
                <w:sz w:val="20"/>
                <w:szCs w:val="20"/>
                <w:u w:val="single"/>
                <w:lang w:val="ru-RU" w:eastAsia="en-US"/>
              </w:rPr>
              <w:t>.</w:t>
            </w:r>
            <w:r w:rsidRPr="00CA5796">
              <w:rPr>
                <w:rFonts w:ascii="Times New Roman" w:hAnsi="Times New Roman"/>
                <w:color w:val="0000FF"/>
                <w:sz w:val="20"/>
                <w:szCs w:val="20"/>
                <w:u w:val="single"/>
                <w:lang w:val="en-US" w:eastAsia="en-US"/>
              </w:rPr>
              <w:t>bg</w:t>
            </w:r>
          </w:hyperlink>
          <w:r w:rsidRPr="00CA5796">
            <w:rPr>
              <w:rFonts w:ascii="Times New Roman" w:hAnsi="Times New Roman"/>
              <w:i/>
              <w:sz w:val="24"/>
              <w:szCs w:val="24"/>
              <w:lang w:val="ru-RU" w:eastAsia="en-US"/>
            </w:rPr>
            <w:t xml:space="preserve"> --------------------------------------------------</w:t>
          </w:r>
        </w:p>
        <w:p w:rsidR="00382708" w:rsidRPr="00CA5796" w:rsidRDefault="00382708" w:rsidP="00382708">
          <w:pPr>
            <w:spacing w:after="0" w:line="240" w:lineRule="auto"/>
            <w:ind w:firstLine="708"/>
            <w:jc w:val="center"/>
            <w:rPr>
              <w:rFonts w:ascii="Times New Roman" w:hAnsi="Times New Roman"/>
              <w:i/>
              <w:sz w:val="20"/>
              <w:szCs w:val="20"/>
              <w:lang w:val="ru-RU" w:eastAsia="en-US"/>
            </w:rPr>
          </w:pPr>
          <w:r w:rsidRPr="00CA5796">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CA5796">
            <w:rPr>
              <w:rFonts w:ascii="Times New Roman" w:hAnsi="Times New Roman"/>
              <w:i/>
              <w:sz w:val="20"/>
              <w:szCs w:val="20"/>
              <w:lang w:val="ru-RU" w:eastAsia="en-US"/>
            </w:rPr>
            <w:t>,</w:t>
          </w:r>
        </w:p>
        <w:p w:rsidR="00CD790A" w:rsidRPr="00382708" w:rsidRDefault="00382708" w:rsidP="00382708">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CA5796">
            <w:rPr>
              <w:rFonts w:ascii="Times New Roman" w:hAnsi="Times New Roman"/>
              <w:i/>
              <w:sz w:val="20"/>
              <w:szCs w:val="20"/>
              <w:lang w:val="ru-RU" w:eastAsia="en-US"/>
            </w:rPr>
            <w:t>финансиран</w:t>
          </w:r>
          <w:proofErr w:type="spellEnd"/>
          <w:r w:rsidRPr="00CA5796">
            <w:rPr>
              <w:rFonts w:ascii="Times New Roman" w:hAnsi="Times New Roman"/>
              <w:i/>
              <w:sz w:val="20"/>
              <w:szCs w:val="20"/>
              <w:lang w:val="ru-RU" w:eastAsia="en-US"/>
            </w:rPr>
            <w:t xml:space="preserve"> от Програма за развитие на </w:t>
          </w:r>
          <w:proofErr w:type="spellStart"/>
          <w:r w:rsidRPr="00CA5796">
            <w:rPr>
              <w:rFonts w:ascii="Times New Roman" w:hAnsi="Times New Roman"/>
              <w:i/>
              <w:sz w:val="20"/>
              <w:szCs w:val="20"/>
              <w:lang w:val="ru-RU" w:eastAsia="en-US"/>
            </w:rPr>
            <w:t>селските</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райони</w:t>
          </w:r>
          <w:proofErr w:type="spellEnd"/>
          <w:r w:rsidRPr="00CA5796">
            <w:rPr>
              <w:rFonts w:ascii="Times New Roman" w:hAnsi="Times New Roman"/>
              <w:i/>
              <w:sz w:val="20"/>
              <w:szCs w:val="20"/>
              <w:lang w:val="ru-RU" w:eastAsia="en-US"/>
            </w:rPr>
            <w:t xml:space="preserve">, съфинансирана от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съюз</w:t>
          </w:r>
          <w:proofErr w:type="spellEnd"/>
          <w:r w:rsidRPr="00CA5796">
            <w:rPr>
              <w:rFonts w:ascii="Times New Roman" w:hAnsi="Times New Roman"/>
              <w:i/>
              <w:sz w:val="20"/>
              <w:szCs w:val="24"/>
              <w:lang w:val="ru-RU" w:eastAsia="en-US"/>
            </w:rPr>
            <w:t xml:space="preserve"> чрез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земеделски</w:t>
          </w:r>
          <w:proofErr w:type="spellEnd"/>
          <w:r w:rsidRPr="00CA5796">
            <w:rPr>
              <w:rFonts w:ascii="Times New Roman" w:hAnsi="Times New Roman"/>
              <w:i/>
              <w:sz w:val="20"/>
              <w:szCs w:val="24"/>
              <w:lang w:val="ru-RU" w:eastAsia="en-US"/>
            </w:rPr>
            <w:t xml:space="preserve"> фонд за развитие на </w:t>
          </w:r>
          <w:proofErr w:type="spellStart"/>
          <w:r w:rsidRPr="00CA5796">
            <w:rPr>
              <w:rFonts w:ascii="Times New Roman" w:hAnsi="Times New Roman"/>
              <w:i/>
              <w:sz w:val="20"/>
              <w:szCs w:val="24"/>
              <w:lang w:val="ru-RU" w:eastAsia="en-US"/>
            </w:rPr>
            <w:t>селските</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райони</w:t>
          </w:r>
          <w:proofErr w:type="spellEnd"/>
          <w:r w:rsidRPr="00CA5796">
            <w:rPr>
              <w:rFonts w:ascii="Times New Roman" w:hAnsi="Times New Roman"/>
              <w:i/>
              <w:sz w:val="20"/>
              <w:szCs w:val="24"/>
              <w:lang w:val="ru-RU" w:eastAsia="en-US"/>
            </w:rPr>
            <w:t>.</w:t>
          </w:r>
        </w:p>
      </w:tc>
    </w:tr>
  </w:tbl>
  <w:p w:rsidR="00CD790A" w:rsidRPr="00382708" w:rsidRDefault="00CD790A" w:rsidP="00382708">
    <w:pPr>
      <w:pStyle w:val="ab"/>
      <w:jc w:val="center"/>
      <w:rPr>
        <w:rFonts w:ascii="Times New Roman" w:hAnsi="Times New Roman"/>
        <w:b/>
        <w:sz w:val="20"/>
        <w:szCs w:val="20"/>
        <w:lang w:val="en-US"/>
      </w:rPr>
    </w:pPr>
    <w:r w:rsidRPr="00966903">
      <w:rPr>
        <w:rFonts w:ascii="Times New Roman" w:hAnsi="Times New Roman"/>
        <w:b/>
        <w:sz w:val="20"/>
        <w:szCs w:val="20"/>
      </w:rPr>
      <w:fldChar w:fldCharType="begin"/>
    </w:r>
    <w:r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382708">
      <w:rPr>
        <w:rFonts w:ascii="Times New Roman" w:hAnsi="Times New Roman"/>
        <w:b/>
        <w:noProof/>
        <w:sz w:val="20"/>
        <w:szCs w:val="20"/>
      </w:rPr>
      <w:t>18</w:t>
    </w:r>
    <w:r w:rsidRPr="00966903">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CA5796">
          <w:rPr>
            <w:rFonts w:ascii="Times New Roman" w:hAnsi="Times New Roman"/>
            <w:i/>
            <w:sz w:val="20"/>
            <w:szCs w:val="20"/>
            <w:lang w:val="ru-RU" w:eastAsia="en-US"/>
          </w:rPr>
          <w:t xml:space="preserve">------------------------------------------------------ </w:t>
        </w:r>
        <w:hyperlink r:id="rId1" w:history="1">
          <w:r w:rsidRPr="00CA5796">
            <w:rPr>
              <w:rFonts w:ascii="Times New Roman" w:hAnsi="Times New Roman"/>
              <w:color w:val="0000FF"/>
              <w:sz w:val="20"/>
              <w:szCs w:val="20"/>
              <w:u w:val="single"/>
              <w:lang w:val="en-US" w:eastAsia="en-US"/>
            </w:rPr>
            <w:t>www</w:t>
          </w:r>
          <w:r w:rsidRPr="00CA5796">
            <w:rPr>
              <w:rFonts w:ascii="Times New Roman" w:hAnsi="Times New Roman"/>
              <w:color w:val="0000FF"/>
              <w:sz w:val="20"/>
              <w:szCs w:val="20"/>
              <w:u w:val="single"/>
              <w:lang w:val="ru-RU" w:eastAsia="en-US"/>
            </w:rPr>
            <w:t>.</w:t>
          </w:r>
          <w:proofErr w:type="spellStart"/>
          <w:r w:rsidRPr="00CA5796">
            <w:rPr>
              <w:rFonts w:ascii="Times New Roman" w:hAnsi="Times New Roman"/>
              <w:color w:val="0000FF"/>
              <w:sz w:val="20"/>
              <w:szCs w:val="20"/>
              <w:u w:val="single"/>
              <w:lang w:val="en-US" w:eastAsia="en-US"/>
            </w:rPr>
            <w:t>eufunds</w:t>
          </w:r>
          <w:proofErr w:type="spellEnd"/>
          <w:r w:rsidRPr="00CA5796">
            <w:rPr>
              <w:rFonts w:ascii="Times New Roman" w:hAnsi="Times New Roman"/>
              <w:color w:val="0000FF"/>
              <w:sz w:val="20"/>
              <w:szCs w:val="20"/>
              <w:u w:val="single"/>
              <w:lang w:val="ru-RU" w:eastAsia="en-US"/>
            </w:rPr>
            <w:t>.</w:t>
          </w:r>
          <w:r w:rsidRPr="00CA5796">
            <w:rPr>
              <w:rFonts w:ascii="Times New Roman" w:hAnsi="Times New Roman"/>
              <w:color w:val="0000FF"/>
              <w:sz w:val="20"/>
              <w:szCs w:val="20"/>
              <w:u w:val="single"/>
              <w:lang w:val="en-US" w:eastAsia="en-US"/>
            </w:rPr>
            <w:t>bg</w:t>
          </w:r>
        </w:hyperlink>
        <w:r w:rsidRPr="00CA5796">
          <w:rPr>
            <w:rFonts w:ascii="Times New Roman" w:hAnsi="Times New Roman"/>
            <w:i/>
            <w:sz w:val="24"/>
            <w:szCs w:val="24"/>
            <w:lang w:val="ru-RU" w:eastAsia="en-US"/>
          </w:rPr>
          <w:t xml:space="preserve"> --------------------------------------------------</w:t>
        </w:r>
      </w:p>
      <w:p w:rsidR="00CA5796" w:rsidRPr="00CA5796" w:rsidRDefault="00CA5796" w:rsidP="00CA5796">
        <w:pPr>
          <w:spacing w:after="0" w:line="240" w:lineRule="auto"/>
          <w:ind w:firstLine="708"/>
          <w:jc w:val="center"/>
          <w:rPr>
            <w:rFonts w:ascii="Times New Roman" w:hAnsi="Times New Roman"/>
            <w:i/>
            <w:sz w:val="20"/>
            <w:szCs w:val="20"/>
            <w:lang w:val="ru-RU" w:eastAsia="en-US"/>
          </w:rPr>
        </w:pPr>
        <w:r w:rsidRPr="00CA5796">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CA5796">
          <w:rPr>
            <w:rFonts w:ascii="Times New Roman" w:hAnsi="Times New Roman"/>
            <w:i/>
            <w:sz w:val="20"/>
            <w:szCs w:val="20"/>
            <w:lang w:val="ru-RU" w:eastAsia="en-US"/>
          </w:rPr>
          <w:t>,</w:t>
        </w:r>
      </w:p>
      <w:p w:rsidR="00CA5796" w:rsidRPr="00CA5796" w:rsidRDefault="00CA5796" w:rsidP="00CA5796">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CA5796">
          <w:rPr>
            <w:rFonts w:ascii="Times New Roman" w:hAnsi="Times New Roman"/>
            <w:i/>
            <w:sz w:val="20"/>
            <w:szCs w:val="20"/>
            <w:lang w:val="ru-RU" w:eastAsia="en-US"/>
          </w:rPr>
          <w:t>финансиран</w:t>
        </w:r>
        <w:proofErr w:type="spellEnd"/>
        <w:r w:rsidRPr="00CA5796">
          <w:rPr>
            <w:rFonts w:ascii="Times New Roman" w:hAnsi="Times New Roman"/>
            <w:i/>
            <w:sz w:val="20"/>
            <w:szCs w:val="20"/>
            <w:lang w:val="ru-RU" w:eastAsia="en-US"/>
          </w:rPr>
          <w:t xml:space="preserve"> от Програма за развитие на </w:t>
        </w:r>
        <w:proofErr w:type="spellStart"/>
        <w:r w:rsidRPr="00CA5796">
          <w:rPr>
            <w:rFonts w:ascii="Times New Roman" w:hAnsi="Times New Roman"/>
            <w:i/>
            <w:sz w:val="20"/>
            <w:szCs w:val="20"/>
            <w:lang w:val="ru-RU" w:eastAsia="en-US"/>
          </w:rPr>
          <w:t>селските</w:t>
        </w:r>
        <w:proofErr w:type="spellEnd"/>
        <w:r w:rsidRPr="00CA5796">
          <w:rPr>
            <w:rFonts w:ascii="Times New Roman" w:hAnsi="Times New Roman"/>
            <w:i/>
            <w:sz w:val="20"/>
            <w:szCs w:val="20"/>
            <w:lang w:val="ru-RU" w:eastAsia="en-US"/>
          </w:rPr>
          <w:t xml:space="preserve"> </w:t>
        </w:r>
        <w:proofErr w:type="spellStart"/>
        <w:r w:rsidRPr="00CA5796">
          <w:rPr>
            <w:rFonts w:ascii="Times New Roman" w:hAnsi="Times New Roman"/>
            <w:i/>
            <w:sz w:val="20"/>
            <w:szCs w:val="20"/>
            <w:lang w:val="ru-RU" w:eastAsia="en-US"/>
          </w:rPr>
          <w:t>райони</w:t>
        </w:r>
        <w:proofErr w:type="spellEnd"/>
        <w:r w:rsidRPr="00CA5796">
          <w:rPr>
            <w:rFonts w:ascii="Times New Roman" w:hAnsi="Times New Roman"/>
            <w:i/>
            <w:sz w:val="20"/>
            <w:szCs w:val="20"/>
            <w:lang w:val="ru-RU" w:eastAsia="en-US"/>
          </w:rPr>
          <w:t xml:space="preserve">, съфинансирана от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съюз</w:t>
        </w:r>
        <w:proofErr w:type="spellEnd"/>
        <w:r w:rsidRPr="00CA5796">
          <w:rPr>
            <w:rFonts w:ascii="Times New Roman" w:hAnsi="Times New Roman"/>
            <w:i/>
            <w:sz w:val="20"/>
            <w:szCs w:val="24"/>
            <w:lang w:val="ru-RU" w:eastAsia="en-US"/>
          </w:rPr>
          <w:t xml:space="preserve"> чрез </w:t>
        </w:r>
        <w:proofErr w:type="spellStart"/>
        <w:r w:rsidRPr="00CA5796">
          <w:rPr>
            <w:rFonts w:ascii="Times New Roman" w:hAnsi="Times New Roman"/>
            <w:i/>
            <w:sz w:val="20"/>
            <w:szCs w:val="24"/>
            <w:lang w:val="ru-RU" w:eastAsia="en-US"/>
          </w:rPr>
          <w:t>Европейския</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земеделски</w:t>
        </w:r>
        <w:proofErr w:type="spellEnd"/>
        <w:r w:rsidRPr="00CA5796">
          <w:rPr>
            <w:rFonts w:ascii="Times New Roman" w:hAnsi="Times New Roman"/>
            <w:i/>
            <w:sz w:val="20"/>
            <w:szCs w:val="24"/>
            <w:lang w:val="ru-RU" w:eastAsia="en-US"/>
          </w:rPr>
          <w:t xml:space="preserve"> фонд за развитие на </w:t>
        </w:r>
        <w:proofErr w:type="spellStart"/>
        <w:r w:rsidRPr="00CA5796">
          <w:rPr>
            <w:rFonts w:ascii="Times New Roman" w:hAnsi="Times New Roman"/>
            <w:i/>
            <w:sz w:val="20"/>
            <w:szCs w:val="24"/>
            <w:lang w:val="ru-RU" w:eastAsia="en-US"/>
          </w:rPr>
          <w:t>селските</w:t>
        </w:r>
        <w:proofErr w:type="spellEnd"/>
        <w:r w:rsidRPr="00CA5796">
          <w:rPr>
            <w:rFonts w:ascii="Times New Roman" w:hAnsi="Times New Roman"/>
            <w:i/>
            <w:sz w:val="20"/>
            <w:szCs w:val="24"/>
            <w:lang w:val="ru-RU" w:eastAsia="en-US"/>
          </w:rPr>
          <w:t xml:space="preserve"> </w:t>
        </w:r>
        <w:proofErr w:type="spellStart"/>
        <w:r w:rsidRPr="00CA5796">
          <w:rPr>
            <w:rFonts w:ascii="Times New Roman" w:hAnsi="Times New Roman"/>
            <w:i/>
            <w:sz w:val="20"/>
            <w:szCs w:val="24"/>
            <w:lang w:val="ru-RU" w:eastAsia="en-US"/>
          </w:rPr>
          <w:t>райони</w:t>
        </w:r>
        <w:proofErr w:type="spellEnd"/>
        <w:r w:rsidRPr="00CA5796">
          <w:rPr>
            <w:rFonts w:ascii="Times New Roman" w:hAnsi="Times New Roman"/>
            <w:i/>
            <w:sz w:val="20"/>
            <w:szCs w:val="24"/>
            <w:lang w:val="ru-RU" w:eastAsia="en-US"/>
          </w:rPr>
          <w:t>.</w:t>
        </w:r>
      </w:p>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CA5796">
          <w:rPr>
            <w:rFonts w:ascii="Times New Roman" w:hAnsi="Times New Roman"/>
            <w:sz w:val="22"/>
            <w:szCs w:val="22"/>
            <w:lang w:val="en-US" w:eastAsia="en-US"/>
          </w:rPr>
          <w:fldChar w:fldCharType="begin"/>
        </w:r>
        <w:r w:rsidRPr="00CA5796">
          <w:rPr>
            <w:rFonts w:ascii="Times New Roman" w:hAnsi="Times New Roman"/>
            <w:sz w:val="22"/>
            <w:szCs w:val="22"/>
            <w:lang w:val="en-US" w:eastAsia="en-US"/>
          </w:rPr>
          <w:instrText>PAGE   \* MERGEFORMAT</w:instrText>
        </w:r>
        <w:r w:rsidRPr="00CA5796">
          <w:rPr>
            <w:rFonts w:ascii="Times New Roman" w:hAnsi="Times New Roman"/>
            <w:sz w:val="22"/>
            <w:szCs w:val="22"/>
            <w:lang w:val="en-US" w:eastAsia="en-US"/>
          </w:rPr>
          <w:fldChar w:fldCharType="separate"/>
        </w:r>
        <w:r w:rsidR="00382708" w:rsidRPr="00382708">
          <w:rPr>
            <w:rFonts w:ascii="Times New Roman" w:hAnsi="Times New Roman"/>
            <w:noProof/>
            <w:sz w:val="22"/>
            <w:szCs w:val="22"/>
            <w:lang w:eastAsia="en-US"/>
          </w:rPr>
          <w:t>1</w:t>
        </w:r>
        <w:r w:rsidRPr="00CA5796">
          <w:rPr>
            <w:rFonts w:ascii="Times New Roman" w:hAnsi="Times New Roman"/>
            <w:sz w:val="22"/>
            <w:szCs w:val="22"/>
            <w:lang w:val="en-US" w:eastAsia="en-US"/>
          </w:rPr>
          <w:fldChar w:fldCharType="end"/>
        </w:r>
      </w:p>
    </w:sdtContent>
  </w:sdt>
  <w:p w:rsidR="00CD790A" w:rsidRDefault="00CD79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1A" w:rsidRDefault="0046451A" w:rsidP="00555924">
      <w:r>
        <w:separator/>
      </w:r>
    </w:p>
  </w:footnote>
  <w:footnote w:type="continuationSeparator" w:id="0">
    <w:p w:rsidR="0046451A" w:rsidRDefault="0046451A" w:rsidP="00555924">
      <w:r>
        <w:continuationSeparator/>
      </w:r>
    </w:p>
  </w:footnote>
  <w:footnote w:id="1">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5">
    <w:p w:rsidR="00CD790A" w:rsidRPr="009D2CFF"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footnote>
  <w:footnote w:id="6">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7">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8">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9">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0">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1">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2">
    <w:p w:rsidR="00CD790A" w:rsidRPr="00103106"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footnote>
  <w:footnote w:id="13">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4">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5">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6">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7">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8">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19">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0">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1">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2">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3">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4">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5">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6">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7">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8">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29">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0">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1">
    <w:p w:rsidR="00CD790A" w:rsidRPr="00B32956"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footnote>
  <w:footnote w:id="32">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3">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4">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5">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p w:rsidR="00CD790A" w:rsidRPr="00FA77D0" w:rsidRDefault="00CD790A" w:rsidP="00096453">
      <w:pPr>
        <w:pStyle w:val="a9"/>
        <w:rPr>
          <w:lang w:val="bg-BG"/>
        </w:rPr>
      </w:pPr>
    </w:p>
  </w:footnote>
  <w:footnote w:id="36">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7">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8">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39">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0">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1">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2">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3">
    <w:p w:rsidR="00CD790A" w:rsidRPr="0017040C"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4">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p w:rsidR="00CD790A" w:rsidRPr="00D70AE8" w:rsidRDefault="00CD790A" w:rsidP="00096453">
      <w:pPr>
        <w:pStyle w:val="a9"/>
        <w:rPr>
          <w:lang w:val="bg-BG"/>
        </w:rPr>
      </w:pPr>
    </w:p>
  </w:footnote>
  <w:footnote w:id="45">
    <w:p w:rsidR="00CD790A" w:rsidRDefault="00CD790A" w:rsidP="00096453">
      <w:pPr>
        <w:pStyle w:val="a9"/>
        <w:jc w:val="both"/>
        <w:rPr>
          <w:lang w:val="bg-BG"/>
        </w:rPr>
      </w:pPr>
      <w:r>
        <w:rPr>
          <w:rStyle w:val="ad"/>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6">
    <w:p w:rsidR="00CD790A" w:rsidRPr="003B489E"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7">
    <w:p w:rsidR="00CD790A" w:rsidRPr="003B489E" w:rsidRDefault="00CD790A" w:rsidP="00096453">
      <w:pPr>
        <w:pStyle w:val="a9"/>
        <w:rPr>
          <w:lang w:val="bg-BG"/>
        </w:rPr>
      </w:pPr>
      <w:r>
        <w:rPr>
          <w:rStyle w:val="ad"/>
        </w:rPr>
        <w:footnoteRef/>
      </w:r>
      <w:r w:rsidRPr="000C6A7A">
        <w:rPr>
          <w:lang w:val="ru-RU"/>
        </w:rPr>
        <w:t xml:space="preserve"> </w:t>
      </w:r>
      <w:r>
        <w:rPr>
          <w:lang w:val="bg-BG"/>
        </w:rPr>
        <w:t>Ненужното се изтрива.</w:t>
      </w:r>
    </w:p>
  </w:footnote>
  <w:footnote w:id="48">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 за съответната обособена позиция.</w:t>
      </w:r>
    </w:p>
    <w:p w:rsidR="00CD790A" w:rsidRPr="003B489E" w:rsidRDefault="00CD790A" w:rsidP="00096453">
      <w:pPr>
        <w:pStyle w:val="a9"/>
        <w:rPr>
          <w:lang w:val="bg-BG"/>
        </w:rPr>
      </w:pPr>
    </w:p>
  </w:footnote>
  <w:footnote w:id="49">
    <w:p w:rsidR="00CD790A" w:rsidRPr="00625564" w:rsidRDefault="00CD790A" w:rsidP="00096453">
      <w:pPr>
        <w:pStyle w:val="a9"/>
        <w:rPr>
          <w:lang w:val="bg-BG"/>
        </w:rPr>
      </w:pPr>
      <w:r>
        <w:rPr>
          <w:rStyle w:val="ad"/>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003CE0" w:rsidRDefault="00CD790A" w:rsidP="00003CE0">
    <w:pPr>
      <w:spacing w:after="0" w:line="240" w:lineRule="auto"/>
      <w:rPr>
        <w:rFonts w:ascii="Times New Roman" w:hAnsi="Times New Roman"/>
        <w:sz w:val="24"/>
        <w:szCs w:val="24"/>
      </w:rPr>
    </w:pPr>
  </w:p>
  <w:p w:rsidR="00CD790A" w:rsidRPr="00003CE0" w:rsidRDefault="00CD790A" w:rsidP="00003CE0">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003CE0" w:rsidRDefault="00CD790A" w:rsidP="00003CE0">
    <w:pPr>
      <w:spacing w:after="0" w:line="240" w:lineRule="auto"/>
      <w:rPr>
        <w:rFonts w:ascii="Times New Roman" w:hAnsi="Times New Roman"/>
        <w:sz w:val="24"/>
        <w:szCs w:val="24"/>
      </w:rPr>
    </w:pPr>
  </w:p>
  <w:p w:rsidR="00CA5796" w:rsidRPr="00CA5796" w:rsidRDefault="00CA5796" w:rsidP="00CA5796">
    <w:pPr>
      <w:tabs>
        <w:tab w:val="center" w:pos="4677"/>
        <w:tab w:val="center" w:pos="4703"/>
        <w:tab w:val="right" w:pos="9406"/>
      </w:tabs>
      <w:spacing w:after="0" w:line="240" w:lineRule="auto"/>
      <w:ind w:left="426"/>
      <w:rPr>
        <w:rFonts w:ascii="Times New Roman" w:hAnsi="Times New Roman"/>
        <w:sz w:val="24"/>
        <w:szCs w:val="24"/>
        <w:lang w:val="ru-RU" w:eastAsia="en-US"/>
      </w:rPr>
    </w:pPr>
    <w:r w:rsidRPr="00CA5796">
      <w:rPr>
        <w:rFonts w:ascii="Times New Roman" w:hAnsi="Times New Roman"/>
        <w:noProof/>
        <w:sz w:val="24"/>
        <w:szCs w:val="24"/>
      </w:rPr>
      <w:drawing>
        <wp:anchor distT="0" distB="0" distL="114300" distR="114300" simplePos="0" relativeHeight="251659264" behindDoc="0" locked="0" layoutInCell="1" allowOverlap="1" wp14:anchorId="44B2074F" wp14:editId="7CCF47F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CA5796">
      <w:rPr>
        <w:rFonts w:ascii="Times New Roman" w:hAnsi="Times New Roman"/>
        <w:noProof/>
        <w:sz w:val="24"/>
        <w:szCs w:val="24"/>
      </w:rPr>
      <w:drawing>
        <wp:inline distT="0" distB="0" distL="0" distR="0" wp14:anchorId="37091956" wp14:editId="731DD813">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CA5796">
      <w:rPr>
        <w:rFonts w:ascii="Times New Roman" w:hAnsi="Times New Roman"/>
        <w:noProof/>
        <w:sz w:val="24"/>
        <w:szCs w:val="24"/>
        <w:lang w:val="ru-RU" w:eastAsia="en-US"/>
      </w:rPr>
      <w:tab/>
      <w:t xml:space="preserve">   </w:t>
    </w:r>
    <w:r w:rsidRPr="00CA5796">
      <w:rPr>
        <w:rFonts w:ascii="Times New Roman" w:hAnsi="Times New Roman"/>
        <w:noProof/>
        <w:sz w:val="24"/>
        <w:szCs w:val="24"/>
      </w:rPr>
      <w:drawing>
        <wp:inline distT="0" distB="0" distL="0" distR="0" wp14:anchorId="5AF736F4" wp14:editId="590417C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CA5796">
      <w:rPr>
        <w:rFonts w:ascii="Times New Roman" w:hAnsi="Times New Roman"/>
        <w:sz w:val="24"/>
        <w:szCs w:val="24"/>
        <w:lang w:val="ru-RU" w:eastAsia="en-US"/>
      </w:rPr>
      <w:t xml:space="preserve">                      </w:t>
    </w:r>
  </w:p>
  <w:p w:rsidR="00CA5796"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CA5796">
      <w:rPr>
        <w:rFonts w:ascii="Times New Roman" w:hAnsi="Times New Roman"/>
        <w:b/>
        <w:i/>
        <w:sz w:val="20"/>
        <w:szCs w:val="20"/>
        <w:lang w:val="ru-RU" w:eastAsia="en-US"/>
      </w:rPr>
      <w:t xml:space="preserve">Програма за развитие на </w:t>
    </w:r>
    <w:proofErr w:type="spellStart"/>
    <w:r w:rsidRPr="00CA5796">
      <w:rPr>
        <w:rFonts w:ascii="Times New Roman" w:hAnsi="Times New Roman"/>
        <w:b/>
        <w:i/>
        <w:sz w:val="20"/>
        <w:szCs w:val="20"/>
        <w:lang w:val="ru-RU" w:eastAsia="en-US"/>
      </w:rPr>
      <w:t>селските</w:t>
    </w:r>
    <w:proofErr w:type="spellEnd"/>
    <w:r w:rsidRPr="00CA5796">
      <w:rPr>
        <w:rFonts w:ascii="Times New Roman" w:hAnsi="Times New Roman"/>
        <w:b/>
        <w:i/>
        <w:sz w:val="20"/>
        <w:szCs w:val="20"/>
        <w:lang w:val="ru-RU" w:eastAsia="en-US"/>
      </w:rPr>
      <w:t xml:space="preserve"> </w:t>
    </w:r>
    <w:proofErr w:type="spellStart"/>
    <w:r w:rsidRPr="00CA5796">
      <w:rPr>
        <w:rFonts w:ascii="Times New Roman" w:hAnsi="Times New Roman"/>
        <w:b/>
        <w:i/>
        <w:sz w:val="20"/>
        <w:szCs w:val="20"/>
        <w:lang w:val="ru-RU" w:eastAsia="en-US"/>
      </w:rPr>
      <w:t>райони</w:t>
    </w:r>
    <w:proofErr w:type="spellEnd"/>
    <w:r w:rsidRPr="00CA5796">
      <w:rPr>
        <w:rFonts w:ascii="Times New Roman" w:hAnsi="Times New Roman"/>
        <w:b/>
        <w:i/>
        <w:sz w:val="20"/>
        <w:szCs w:val="20"/>
        <w:lang w:val="ru-RU" w:eastAsia="en-US"/>
      </w:rPr>
      <w:t xml:space="preserve"> 2014 – 2020</w:t>
    </w:r>
  </w:p>
  <w:p w:rsidR="00CA5796"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CA5796">
      <w:rPr>
        <w:rFonts w:ascii="Times New Roman" w:hAnsi="Times New Roman"/>
        <w:b/>
        <w:i/>
        <w:sz w:val="20"/>
        <w:szCs w:val="20"/>
        <w:lang w:val="ru-RU" w:eastAsia="en-US"/>
      </w:rPr>
      <w:t xml:space="preserve">Европейски </w:t>
    </w:r>
    <w:proofErr w:type="spellStart"/>
    <w:r w:rsidRPr="00CA5796">
      <w:rPr>
        <w:rFonts w:ascii="Times New Roman" w:hAnsi="Times New Roman"/>
        <w:b/>
        <w:i/>
        <w:sz w:val="20"/>
        <w:szCs w:val="20"/>
        <w:lang w:val="ru-RU" w:eastAsia="en-US"/>
      </w:rPr>
      <w:t>земеделски</w:t>
    </w:r>
    <w:proofErr w:type="spellEnd"/>
    <w:r w:rsidRPr="00CA5796">
      <w:rPr>
        <w:rFonts w:ascii="Times New Roman" w:hAnsi="Times New Roman"/>
        <w:b/>
        <w:i/>
        <w:sz w:val="20"/>
        <w:szCs w:val="20"/>
        <w:lang w:val="ru-RU" w:eastAsia="en-US"/>
      </w:rPr>
      <w:t xml:space="preserve"> фонд за развитие на </w:t>
    </w:r>
    <w:proofErr w:type="spellStart"/>
    <w:r w:rsidRPr="00CA5796">
      <w:rPr>
        <w:rFonts w:ascii="Times New Roman" w:hAnsi="Times New Roman"/>
        <w:b/>
        <w:i/>
        <w:sz w:val="20"/>
        <w:szCs w:val="20"/>
        <w:lang w:val="ru-RU" w:eastAsia="en-US"/>
      </w:rPr>
      <w:t>селските</w:t>
    </w:r>
    <w:proofErr w:type="spellEnd"/>
    <w:r w:rsidRPr="00CA5796">
      <w:rPr>
        <w:rFonts w:ascii="Times New Roman" w:hAnsi="Times New Roman"/>
        <w:b/>
        <w:i/>
        <w:sz w:val="20"/>
        <w:szCs w:val="20"/>
        <w:lang w:val="ru-RU" w:eastAsia="en-US"/>
      </w:rPr>
      <w:t xml:space="preserve"> </w:t>
    </w:r>
    <w:proofErr w:type="spellStart"/>
    <w:r w:rsidRPr="00CA5796">
      <w:rPr>
        <w:rFonts w:ascii="Times New Roman" w:hAnsi="Times New Roman"/>
        <w:b/>
        <w:i/>
        <w:sz w:val="20"/>
        <w:szCs w:val="20"/>
        <w:lang w:val="ru-RU" w:eastAsia="en-US"/>
      </w:rPr>
      <w:t>райони</w:t>
    </w:r>
    <w:proofErr w:type="spellEnd"/>
    <w:r w:rsidRPr="00CA5796">
      <w:rPr>
        <w:rFonts w:ascii="Times New Roman" w:hAnsi="Times New Roman"/>
        <w:b/>
        <w:i/>
        <w:sz w:val="20"/>
        <w:szCs w:val="20"/>
        <w:lang w:val="ru-RU" w:eastAsia="en-US"/>
      </w:rPr>
      <w:t>:</w:t>
    </w:r>
  </w:p>
  <w:p w:rsidR="00CD790A" w:rsidRPr="00CA5796" w:rsidRDefault="00CA5796" w:rsidP="00CA5796">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CA5796">
      <w:rPr>
        <w:rFonts w:ascii="Times New Roman" w:hAnsi="Times New Roman"/>
        <w:b/>
        <w:i/>
        <w:sz w:val="20"/>
        <w:szCs w:val="20"/>
        <w:lang w:val="en-US" w:eastAsia="en-US"/>
      </w:rPr>
      <w:t>Европа</w:t>
    </w:r>
    <w:proofErr w:type="spellEnd"/>
    <w:r w:rsidRPr="00CA5796">
      <w:rPr>
        <w:rFonts w:ascii="Times New Roman" w:hAnsi="Times New Roman"/>
        <w:b/>
        <w:i/>
        <w:sz w:val="20"/>
        <w:szCs w:val="20"/>
        <w:lang w:val="en-US" w:eastAsia="en-US"/>
      </w:rPr>
      <w:t xml:space="preserve"> </w:t>
    </w:r>
    <w:proofErr w:type="spellStart"/>
    <w:r w:rsidRPr="00CA5796">
      <w:rPr>
        <w:rFonts w:ascii="Times New Roman" w:hAnsi="Times New Roman"/>
        <w:b/>
        <w:i/>
        <w:sz w:val="20"/>
        <w:szCs w:val="20"/>
        <w:lang w:val="en-US" w:eastAsia="en-US"/>
      </w:rPr>
      <w:t>инвестира</w:t>
    </w:r>
    <w:proofErr w:type="spellEnd"/>
    <w:r w:rsidRPr="00CA5796">
      <w:rPr>
        <w:rFonts w:ascii="Times New Roman" w:hAnsi="Times New Roman"/>
        <w:b/>
        <w:i/>
        <w:sz w:val="20"/>
        <w:szCs w:val="20"/>
        <w:lang w:val="en-US" w:eastAsia="en-US"/>
      </w:rPr>
      <w:t xml:space="preserve"> в </w:t>
    </w:r>
    <w:proofErr w:type="spellStart"/>
    <w:r w:rsidRPr="00CA5796">
      <w:rPr>
        <w:rFonts w:ascii="Times New Roman" w:hAnsi="Times New Roman"/>
        <w:b/>
        <w:i/>
        <w:sz w:val="20"/>
        <w:szCs w:val="20"/>
        <w:lang w:val="en-US" w:eastAsia="en-US"/>
      </w:rPr>
      <w:t>селските</w:t>
    </w:r>
    <w:proofErr w:type="spellEnd"/>
    <w:r w:rsidRPr="00CA5796">
      <w:rPr>
        <w:rFonts w:ascii="Times New Roman" w:hAnsi="Times New Roman"/>
        <w:b/>
        <w:i/>
        <w:sz w:val="20"/>
        <w:szCs w:val="20"/>
        <w:lang w:val="en-US" w:eastAsia="en-US"/>
      </w:rPr>
      <w:t xml:space="preserve"> </w:t>
    </w:r>
    <w:proofErr w:type="spellStart"/>
    <w:r w:rsidRPr="00CA5796">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0B457DCB"/>
    <w:multiLevelType w:val="hybridMultilevel"/>
    <w:tmpl w:val="5C5E1466"/>
    <w:lvl w:ilvl="0" w:tplc="8C6ED85A">
      <w:start w:val="1"/>
      <w:numFmt w:val="lowerRoman"/>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823283"/>
    <w:multiLevelType w:val="hybridMultilevel"/>
    <w:tmpl w:val="FB50D6A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8">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8">
    <w:nsid w:val="6B0A2099"/>
    <w:multiLevelType w:val="hybridMultilevel"/>
    <w:tmpl w:val="AD948D18"/>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BA96195"/>
    <w:multiLevelType w:val="hybridMultilevel"/>
    <w:tmpl w:val="A2122F78"/>
    <w:lvl w:ilvl="0" w:tplc="8C6ED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293BB6"/>
    <w:multiLevelType w:val="hybridMultilevel"/>
    <w:tmpl w:val="CC5A3A0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4"/>
  </w:num>
  <w:num w:numId="5">
    <w:abstractNumId w:val="9"/>
  </w:num>
  <w:num w:numId="6">
    <w:abstractNumId w:val="16"/>
  </w:num>
  <w:num w:numId="7">
    <w:abstractNumId w:val="7"/>
  </w:num>
  <w:num w:numId="8">
    <w:abstractNumId w:val="12"/>
  </w:num>
  <w:num w:numId="9">
    <w:abstractNumId w:val="11"/>
  </w:num>
  <w:num w:numId="10">
    <w:abstractNumId w:val="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1"/>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3F8"/>
    <w:rsid w:val="00022B97"/>
    <w:rsid w:val="00022CA9"/>
    <w:rsid w:val="00022CEB"/>
    <w:rsid w:val="000236DC"/>
    <w:rsid w:val="00025C75"/>
    <w:rsid w:val="00025E6F"/>
    <w:rsid w:val="000269E7"/>
    <w:rsid w:val="00026E47"/>
    <w:rsid w:val="000308A3"/>
    <w:rsid w:val="000308F2"/>
    <w:rsid w:val="000319EB"/>
    <w:rsid w:val="00032E28"/>
    <w:rsid w:val="00034251"/>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453"/>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C6A7A"/>
    <w:rsid w:val="000C7522"/>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0AB4"/>
    <w:rsid w:val="00141300"/>
    <w:rsid w:val="00143AEB"/>
    <w:rsid w:val="0014433F"/>
    <w:rsid w:val="00144741"/>
    <w:rsid w:val="001455E5"/>
    <w:rsid w:val="001471D8"/>
    <w:rsid w:val="0015193D"/>
    <w:rsid w:val="00152596"/>
    <w:rsid w:val="00152F98"/>
    <w:rsid w:val="001555F9"/>
    <w:rsid w:val="00156676"/>
    <w:rsid w:val="001579FC"/>
    <w:rsid w:val="001600B3"/>
    <w:rsid w:val="001608AD"/>
    <w:rsid w:val="00160C97"/>
    <w:rsid w:val="00161217"/>
    <w:rsid w:val="00161BC2"/>
    <w:rsid w:val="001622C1"/>
    <w:rsid w:val="00163D43"/>
    <w:rsid w:val="0016450F"/>
    <w:rsid w:val="001647EB"/>
    <w:rsid w:val="00164D28"/>
    <w:rsid w:val="0016554F"/>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67E7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4DF8"/>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270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1D8F"/>
    <w:rsid w:val="004631E3"/>
    <w:rsid w:val="00463F50"/>
    <w:rsid w:val="0046451A"/>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A5D"/>
    <w:rsid w:val="00561AEF"/>
    <w:rsid w:val="00561F4D"/>
    <w:rsid w:val="00564D04"/>
    <w:rsid w:val="00565FAC"/>
    <w:rsid w:val="00566322"/>
    <w:rsid w:val="005669CC"/>
    <w:rsid w:val="00566F04"/>
    <w:rsid w:val="00567198"/>
    <w:rsid w:val="0057073F"/>
    <w:rsid w:val="0057075A"/>
    <w:rsid w:val="005719DE"/>
    <w:rsid w:val="00571E96"/>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52C"/>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C6159"/>
    <w:rsid w:val="006D1471"/>
    <w:rsid w:val="006D1A06"/>
    <w:rsid w:val="006D236D"/>
    <w:rsid w:val="006D2E74"/>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6664"/>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17A2D"/>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CF7"/>
    <w:rsid w:val="00745F48"/>
    <w:rsid w:val="0074603A"/>
    <w:rsid w:val="00747494"/>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255DA"/>
    <w:rsid w:val="00831048"/>
    <w:rsid w:val="00831552"/>
    <w:rsid w:val="0083158C"/>
    <w:rsid w:val="00833692"/>
    <w:rsid w:val="00834EB6"/>
    <w:rsid w:val="008358F1"/>
    <w:rsid w:val="00836F8F"/>
    <w:rsid w:val="0084047F"/>
    <w:rsid w:val="008427F0"/>
    <w:rsid w:val="00845653"/>
    <w:rsid w:val="008457FA"/>
    <w:rsid w:val="00845EF2"/>
    <w:rsid w:val="00846240"/>
    <w:rsid w:val="0084706E"/>
    <w:rsid w:val="00847CA0"/>
    <w:rsid w:val="00853474"/>
    <w:rsid w:val="00853E41"/>
    <w:rsid w:val="008540B4"/>
    <w:rsid w:val="00855492"/>
    <w:rsid w:val="00856FDE"/>
    <w:rsid w:val="008576BC"/>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5A97"/>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1D1"/>
    <w:rsid w:val="009515E6"/>
    <w:rsid w:val="00951FE5"/>
    <w:rsid w:val="0095271E"/>
    <w:rsid w:val="00952C00"/>
    <w:rsid w:val="00953163"/>
    <w:rsid w:val="0095329C"/>
    <w:rsid w:val="009536A3"/>
    <w:rsid w:val="00954078"/>
    <w:rsid w:val="0095411D"/>
    <w:rsid w:val="00954BCD"/>
    <w:rsid w:val="00955114"/>
    <w:rsid w:val="00957BF8"/>
    <w:rsid w:val="00957DAB"/>
    <w:rsid w:val="00960524"/>
    <w:rsid w:val="009626B2"/>
    <w:rsid w:val="009630AE"/>
    <w:rsid w:val="009632E1"/>
    <w:rsid w:val="00963368"/>
    <w:rsid w:val="009657F9"/>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431F"/>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209"/>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3F29"/>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6F12"/>
    <w:rsid w:val="00BA75EA"/>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00D6"/>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5796"/>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D790A"/>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3E1"/>
    <w:rsid w:val="00D35382"/>
    <w:rsid w:val="00D3584F"/>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0E0B"/>
    <w:rsid w:val="00D912A9"/>
    <w:rsid w:val="00D91633"/>
    <w:rsid w:val="00D91B0E"/>
    <w:rsid w:val="00D97D65"/>
    <w:rsid w:val="00DA1A44"/>
    <w:rsid w:val="00DA4708"/>
    <w:rsid w:val="00DA4D52"/>
    <w:rsid w:val="00DA5B0E"/>
    <w:rsid w:val="00DA6FF3"/>
    <w:rsid w:val="00DA7F65"/>
    <w:rsid w:val="00DB0AE0"/>
    <w:rsid w:val="00DB0D23"/>
    <w:rsid w:val="00DB2048"/>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3F2"/>
    <w:rsid w:val="00DE1913"/>
    <w:rsid w:val="00DE1A07"/>
    <w:rsid w:val="00DE31E0"/>
    <w:rsid w:val="00DE3A87"/>
    <w:rsid w:val="00DE3AD9"/>
    <w:rsid w:val="00DE4C4A"/>
    <w:rsid w:val="00DE4C6F"/>
    <w:rsid w:val="00DE4E2F"/>
    <w:rsid w:val="00DE58E2"/>
    <w:rsid w:val="00DF05B8"/>
    <w:rsid w:val="00DF0AE8"/>
    <w:rsid w:val="00DF0D6A"/>
    <w:rsid w:val="00DF1035"/>
    <w:rsid w:val="00DF33B4"/>
    <w:rsid w:val="00DF3890"/>
    <w:rsid w:val="00DF4A5F"/>
    <w:rsid w:val="00DF522F"/>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55"/>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03C"/>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5D0D"/>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642"/>
    <w:rsid w:val="00FF4ACC"/>
    <w:rsid w:val="00FF6A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8B1B-4DBF-4D4F-B511-D5860A4D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6641</Words>
  <Characters>37857</Characters>
  <Application>Microsoft Office Word</Application>
  <DocSecurity>0</DocSecurity>
  <Lines>315</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44410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11</cp:revision>
  <cp:lastPrinted>2018-06-07T06:21:00Z</cp:lastPrinted>
  <dcterms:created xsi:type="dcterms:W3CDTF">2018-05-17T13:25:00Z</dcterms:created>
  <dcterms:modified xsi:type="dcterms:W3CDTF">2018-06-07T06:22:00Z</dcterms:modified>
</cp:coreProperties>
</file>