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F36" w:rsidRPr="00D56325" w:rsidRDefault="00B45F36" w:rsidP="00B45F36">
      <w:pPr>
        <w:widowControl/>
        <w:autoSpaceDE/>
        <w:autoSpaceDN/>
        <w:jc w:val="center"/>
        <w:rPr>
          <w:rFonts w:eastAsia="Calibri"/>
          <w:sz w:val="36"/>
          <w:szCs w:val="36"/>
          <w:lang w:val="bg-BG"/>
        </w:rPr>
      </w:pPr>
      <w:r w:rsidRPr="00D56325">
        <w:rPr>
          <w:rFonts w:eastAsia="Calibri"/>
          <w:sz w:val="36"/>
          <w:szCs w:val="36"/>
          <w:lang w:val="bg-BG"/>
        </w:rPr>
        <w:t xml:space="preserve">ТЕХНИЧЕСКИ СПЕЦИФИКАЦИИ  </w:t>
      </w:r>
    </w:p>
    <w:p w:rsidR="00B45F36" w:rsidRPr="00D56325" w:rsidRDefault="00B45F36" w:rsidP="00B45F36">
      <w:pPr>
        <w:widowControl/>
        <w:autoSpaceDE/>
        <w:autoSpaceDN/>
        <w:jc w:val="center"/>
        <w:rPr>
          <w:rFonts w:eastAsia="Calibri"/>
          <w:sz w:val="24"/>
          <w:szCs w:val="24"/>
          <w:lang w:val="bg-BG"/>
        </w:rPr>
      </w:pPr>
    </w:p>
    <w:p w:rsidR="00B45F36" w:rsidRPr="00D56325" w:rsidRDefault="00B45F36" w:rsidP="00B45F36">
      <w:pPr>
        <w:widowControl/>
        <w:autoSpaceDE/>
        <w:autoSpaceDN/>
        <w:jc w:val="center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за изпълнение на обществена поръчка с предмет: </w:t>
      </w:r>
    </w:p>
    <w:p w:rsidR="00B45F36" w:rsidRPr="00D56325" w:rsidRDefault="00B45F36" w:rsidP="00B45F36">
      <w:pPr>
        <w:widowControl/>
        <w:autoSpaceDE/>
        <w:autoSpaceDN/>
        <w:jc w:val="center"/>
        <w:rPr>
          <w:rFonts w:eastAsia="Calibri"/>
          <w:sz w:val="36"/>
          <w:szCs w:val="36"/>
          <w:lang w:val="bg-BG"/>
        </w:rPr>
      </w:pPr>
    </w:p>
    <w:p w:rsidR="00B45F36" w:rsidRPr="00D56325" w:rsidRDefault="00B45F36" w:rsidP="00B45F36">
      <w:pPr>
        <w:widowControl/>
        <w:autoSpaceDE/>
        <w:autoSpaceDN/>
        <w:jc w:val="center"/>
        <w:rPr>
          <w:rFonts w:eastAsia="Calibri"/>
          <w:sz w:val="36"/>
          <w:szCs w:val="36"/>
          <w:lang w:val="bg-BG"/>
        </w:rPr>
      </w:pPr>
      <w:bookmarkStart w:id="0" w:name="_Hlk505096930"/>
      <w:r w:rsidRPr="00D56325">
        <w:rPr>
          <w:rFonts w:eastAsia="Calibri"/>
          <w:sz w:val="36"/>
          <w:szCs w:val="36"/>
          <w:lang w:val="bg-BG"/>
        </w:rPr>
        <w:t xml:space="preserve">„СТРОИТЕЛНО-МОНТАЖНИ РАБОТИ НА ОБЕКТ „МОРСКИ КЛУБ В УПИ </w:t>
      </w:r>
      <w:r w:rsidRPr="00D56325">
        <w:rPr>
          <w:rFonts w:eastAsia="Calibri"/>
          <w:sz w:val="36"/>
          <w:szCs w:val="36"/>
        </w:rPr>
        <w:t xml:space="preserve">XIII, </w:t>
      </w:r>
      <w:r w:rsidRPr="00D56325">
        <w:rPr>
          <w:rFonts w:eastAsia="Calibri"/>
          <w:sz w:val="36"/>
          <w:szCs w:val="36"/>
          <w:lang w:val="bg-BG"/>
        </w:rPr>
        <w:t xml:space="preserve">КВ. 9 ПО ПУП-ПР НА СО „КАРИЯ” </w:t>
      </w:r>
      <w:bookmarkEnd w:id="0"/>
      <w:r w:rsidRPr="00D56325">
        <w:rPr>
          <w:rFonts w:eastAsia="Calibri"/>
          <w:sz w:val="36"/>
          <w:szCs w:val="36"/>
          <w:lang w:val="bg-BG"/>
        </w:rPr>
        <w:t xml:space="preserve"> </w:t>
      </w:r>
    </w:p>
    <w:p w:rsidR="00B45F36" w:rsidRPr="00D56325" w:rsidRDefault="00B45F36" w:rsidP="00B45F36">
      <w:pPr>
        <w:widowControl/>
        <w:autoSpaceDE/>
        <w:autoSpaceDN/>
        <w:jc w:val="center"/>
        <w:rPr>
          <w:rFonts w:eastAsia="Calibri"/>
          <w:sz w:val="24"/>
          <w:szCs w:val="24"/>
          <w:lang w:val="bg-BG"/>
        </w:rPr>
      </w:pPr>
    </w:p>
    <w:p w:rsidR="00B45F36" w:rsidRPr="00D56325" w:rsidRDefault="00B45F36" w:rsidP="00B45F36">
      <w:pPr>
        <w:widowControl/>
        <w:autoSpaceDE/>
        <w:autoSpaceDN/>
        <w:jc w:val="center"/>
        <w:rPr>
          <w:rFonts w:eastAsia="Calibri"/>
          <w:sz w:val="24"/>
          <w:szCs w:val="24"/>
          <w:lang w:val="bg-BG"/>
        </w:rPr>
      </w:pPr>
    </w:p>
    <w:p w:rsidR="00B45F36" w:rsidRPr="00D56325" w:rsidRDefault="00B45F36" w:rsidP="00B45F36">
      <w:pPr>
        <w:widowControl/>
        <w:autoSpaceDE/>
        <w:autoSpaceDN/>
        <w:jc w:val="center"/>
        <w:rPr>
          <w:rFonts w:eastAsia="Calibri"/>
          <w:sz w:val="24"/>
          <w:szCs w:val="24"/>
          <w:lang w:val="bg-BG"/>
        </w:rPr>
      </w:pPr>
    </w:p>
    <w:p w:rsidR="00B45F36" w:rsidRPr="00D56325" w:rsidRDefault="00B45F36" w:rsidP="00B45F36">
      <w:pPr>
        <w:widowControl/>
        <w:autoSpaceDE/>
        <w:autoSpaceDN/>
        <w:jc w:val="center"/>
        <w:rPr>
          <w:rFonts w:eastAsia="Calibri"/>
          <w:sz w:val="24"/>
          <w:szCs w:val="24"/>
          <w:lang w:val="bg-BG"/>
        </w:rPr>
      </w:pPr>
    </w:p>
    <w:p w:rsidR="00B45F36" w:rsidRPr="00D56325" w:rsidRDefault="00B45F36" w:rsidP="00B45F36">
      <w:pPr>
        <w:widowControl/>
        <w:autoSpaceDE/>
        <w:autoSpaceDN/>
        <w:jc w:val="center"/>
        <w:rPr>
          <w:rFonts w:eastAsia="Calibri"/>
          <w:sz w:val="24"/>
          <w:szCs w:val="24"/>
          <w:lang w:val="bg-BG"/>
        </w:rPr>
      </w:pPr>
    </w:p>
    <w:p w:rsidR="00B45F36" w:rsidRPr="00D56325" w:rsidRDefault="00B45F36" w:rsidP="00B45F36">
      <w:pPr>
        <w:widowControl/>
        <w:autoSpaceDE/>
        <w:autoSpaceDN/>
        <w:jc w:val="center"/>
        <w:rPr>
          <w:rFonts w:eastAsia="Calibri"/>
          <w:sz w:val="24"/>
          <w:szCs w:val="24"/>
        </w:rPr>
      </w:pPr>
      <w:r w:rsidRPr="00D56325">
        <w:rPr>
          <w:rFonts w:eastAsia="Calibri"/>
          <w:sz w:val="24"/>
          <w:szCs w:val="24"/>
          <w:lang w:val="bg-BG"/>
        </w:rPr>
        <w:t>В изпълнение на проект</w:t>
      </w:r>
      <w:r w:rsidRPr="00D56325">
        <w:rPr>
          <w:rFonts w:eastAsia="Calibri"/>
          <w:color w:val="000000"/>
          <w:sz w:val="24"/>
          <w:szCs w:val="24"/>
          <w:lang w:val="bg-BG"/>
        </w:rPr>
        <w:t xml:space="preserve">: </w:t>
      </w:r>
      <w:r w:rsidRPr="00D56325">
        <w:rPr>
          <w:rFonts w:eastAsia="Calibri"/>
          <w:bCs/>
          <w:color w:val="000000"/>
          <w:sz w:val="24"/>
          <w:szCs w:val="24"/>
          <w:shd w:val="clear" w:color="auto" w:fill="FFFFFF"/>
          <w:lang w:val="bg-BG"/>
        </w:rPr>
        <w:t>„Изграждане на Морски клуб в рибарско селище Кария, община Шабла”</w:t>
      </w:r>
      <w:r w:rsidRPr="00D56325">
        <w:rPr>
          <w:rFonts w:eastAsia="Calibri"/>
          <w:color w:val="000000"/>
          <w:sz w:val="24"/>
          <w:szCs w:val="24"/>
          <w:lang w:val="bg-BG"/>
        </w:rPr>
        <w:t xml:space="preserve"> </w:t>
      </w:r>
      <w:r w:rsidRPr="00D56325">
        <w:rPr>
          <w:rFonts w:eastAsia="Calibri"/>
          <w:sz w:val="24"/>
          <w:szCs w:val="24"/>
          <w:lang w:val="bg-BG"/>
        </w:rPr>
        <w:t xml:space="preserve">по Мярка </w:t>
      </w:r>
      <w:r w:rsidRPr="00D56325">
        <w:rPr>
          <w:sz w:val="24"/>
          <w:szCs w:val="24"/>
          <w:lang w:val="bg-BG" w:eastAsia="bg-BG"/>
        </w:rPr>
  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  </w:r>
      <w:r w:rsidRPr="00D56325">
        <w:rPr>
          <w:rFonts w:eastAsia="Calibri"/>
          <w:sz w:val="24"/>
          <w:szCs w:val="24"/>
          <w:lang w:val="bg-BG"/>
        </w:rPr>
        <w:t xml:space="preserve"> от Стратегия за ВОМР на МИРГ Шабла –  Каварна – Балчик по </w:t>
      </w:r>
      <w:r w:rsidRPr="00D56325">
        <w:rPr>
          <w:sz w:val="24"/>
          <w:szCs w:val="24"/>
          <w:lang w:val="bg-BG" w:eastAsia="bg-BG"/>
        </w:rPr>
        <w:t>Програма за морско дело и рибарство 2014-2020</w:t>
      </w:r>
      <w:r w:rsidRPr="00D56325">
        <w:rPr>
          <w:rFonts w:eastAsia="Calibri"/>
          <w:sz w:val="24"/>
          <w:szCs w:val="24"/>
          <w:lang w:val="bg-BG"/>
        </w:rPr>
        <w:br w:type="page"/>
      </w:r>
    </w:p>
    <w:sdt>
      <w:sdtPr>
        <w:rPr>
          <w:rFonts w:eastAsia="Calibri"/>
          <w:lang w:val="bg-BG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B45F36" w:rsidRPr="00D56325" w:rsidRDefault="00B45F36" w:rsidP="00B45F36">
          <w:pPr>
            <w:keepNext/>
            <w:keepLines/>
            <w:widowControl/>
            <w:autoSpaceDE/>
            <w:autoSpaceDN/>
            <w:jc w:val="center"/>
            <w:rPr>
              <w:b/>
              <w:sz w:val="28"/>
              <w:szCs w:val="28"/>
              <w:lang w:val="bg-BG"/>
            </w:rPr>
          </w:pPr>
          <w:r w:rsidRPr="00D56325">
            <w:rPr>
              <w:b/>
              <w:sz w:val="28"/>
              <w:szCs w:val="28"/>
              <w:lang w:val="bg-BG"/>
            </w:rPr>
            <w:t>Съдържание</w:t>
          </w:r>
        </w:p>
        <w:p w:rsidR="00B45F36" w:rsidRPr="00D56325" w:rsidRDefault="00B45F36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r w:rsidRPr="00D56325">
            <w:rPr>
              <w:rFonts w:eastAsia="Calibri"/>
              <w:smallCaps/>
              <w:lang w:val="bg-BG"/>
            </w:rPr>
            <w:fldChar w:fldCharType="begin"/>
          </w:r>
          <w:r w:rsidRPr="00D56325">
            <w:rPr>
              <w:rFonts w:eastAsia="Calibri"/>
              <w:lang w:val="bg-BG"/>
            </w:rPr>
            <w:instrText xml:space="preserve"> TOC \o "1-3" \h \z \u </w:instrText>
          </w:r>
          <w:r w:rsidRPr="00D56325">
            <w:rPr>
              <w:rFonts w:eastAsia="Calibri"/>
              <w:smallCaps/>
              <w:lang w:val="bg-BG"/>
            </w:rPr>
            <w:fldChar w:fldCharType="separate"/>
          </w:r>
          <w:hyperlink w:anchor="_Toc505531803" w:history="1">
            <w:r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1. Описание на предмета на поръчката</w:t>
            </w:r>
            <w:r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_Toc505531803 \h </w:instrText>
            </w:r>
            <w:r w:rsidRPr="00D56325">
              <w:rPr>
                <w:rFonts w:eastAsia="Calibri"/>
                <w:noProof/>
                <w:webHidden/>
                <w:lang w:val="bg-BG"/>
              </w:rPr>
            </w:r>
            <w:r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Pr="00D56325">
              <w:rPr>
                <w:rFonts w:eastAsia="Calibri"/>
                <w:noProof/>
                <w:webHidden/>
                <w:lang w:val="bg-BG"/>
              </w:rPr>
              <w:t>3</w:t>
            </w:r>
            <w:r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hyperlink w:anchor="_Toc505531804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2. Изходни данни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_Toc505531804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3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hyperlink w:anchor="_Toc505531805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3. Общи изисквания към изпълнението на поръчката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_Toc505531805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5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hyperlink w:anchor="_Toc505531806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4. Изисквания към строителните продукти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_Toc505531806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8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hyperlink w:anchor="_Toc505531807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5. Проби и изпитвания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_Toc505531807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9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523779">
          <w:pPr>
            <w:widowControl/>
            <w:tabs>
              <w:tab w:val="right" w:leader="dot" w:pos="9062"/>
            </w:tabs>
            <w:autoSpaceDE/>
            <w:autoSpaceDN/>
            <w:ind w:left="220" w:right="568"/>
            <w:jc w:val="both"/>
            <w:rPr>
              <w:noProof/>
              <w:lang w:val="bg-BG" w:eastAsia="bg-BG"/>
            </w:rPr>
          </w:pPr>
          <w:hyperlink w:anchor="_Toc505531808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6. Гаранционни срокове. Отстраняване на дефекти в рамките на гаранционните срокове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_Toc505531808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10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hyperlink w:anchor="_Toc505531809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7. Безопасност и опазване на околната среда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_Toc505531809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10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hyperlink w:anchor="_Toc505531810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8. Системи за проверка и контрол на работите в процеса на тяхното изпълнение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_Toc505531810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11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hyperlink w:anchor="_Toc505531811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9. Контрол по време на строителния процес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_Toc505531811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12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hyperlink w:anchor="_Toc505531812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10. Измерване на извършените работи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_Toc505531812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12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hyperlink w:anchor="_Toc505531813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11. Документи при приключване на изпълнението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_Toc505531813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13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hyperlink w:anchor="_Toc505531814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12. Място и срок за изпълнение на поръчката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_Toc505531814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13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B0FA9" w:rsidP="00B45F36">
          <w:pPr>
            <w:widowControl/>
            <w:tabs>
              <w:tab w:val="right" w:leader="dot" w:pos="9062"/>
            </w:tabs>
            <w:autoSpaceDE/>
            <w:autoSpaceDN/>
            <w:ind w:left="220"/>
            <w:jc w:val="both"/>
            <w:rPr>
              <w:noProof/>
              <w:lang w:val="bg-BG" w:eastAsia="bg-BG"/>
            </w:rPr>
          </w:pPr>
          <w:hyperlink w:anchor="_Toc505531815" w:history="1">
            <w:r w:rsidR="00B45F36" w:rsidRPr="00D56325">
              <w:rPr>
                <w:rFonts w:eastAsia="Calibri"/>
                <w:noProof/>
                <w:color w:val="0563C1"/>
                <w:u w:val="single"/>
                <w:lang w:val="bg-BG"/>
              </w:rPr>
              <w:t>13. Приложения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ab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begin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instrText xml:space="preserve"> PAGEREF _Toc505531815 \h </w:instrTex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separate"/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t>14</w:t>
            </w:r>
            <w:r w:rsidR="00B45F36" w:rsidRPr="00D56325">
              <w:rPr>
                <w:rFonts w:eastAsia="Calibri"/>
                <w:noProof/>
                <w:webHidden/>
                <w:lang w:val="bg-BG"/>
              </w:rPr>
              <w:fldChar w:fldCharType="end"/>
            </w:r>
          </w:hyperlink>
        </w:p>
        <w:p w:rsidR="00B45F36" w:rsidRPr="00D56325" w:rsidRDefault="00B45F36" w:rsidP="00B45F36">
          <w:pPr>
            <w:widowControl/>
            <w:autoSpaceDE/>
            <w:autoSpaceDN/>
            <w:jc w:val="both"/>
            <w:rPr>
              <w:rFonts w:eastAsia="Calibri"/>
              <w:lang w:val="bg-BG"/>
            </w:rPr>
          </w:pPr>
          <w:r w:rsidRPr="00D56325">
            <w:rPr>
              <w:rFonts w:eastAsia="Calibri"/>
              <w:b/>
              <w:bCs/>
              <w:noProof/>
              <w:sz w:val="24"/>
              <w:szCs w:val="24"/>
              <w:lang w:val="bg-BG"/>
            </w:rPr>
            <w:fldChar w:fldCharType="end"/>
          </w:r>
        </w:p>
      </w:sdtContent>
    </w:sdt>
    <w:p w:rsidR="00B45F36" w:rsidRPr="00D56325" w:rsidRDefault="00B45F36" w:rsidP="00B45F36">
      <w:pPr>
        <w:widowControl/>
        <w:tabs>
          <w:tab w:val="left" w:pos="8010"/>
        </w:tabs>
        <w:autoSpaceDE/>
        <w:autoSpaceDN/>
        <w:jc w:val="both"/>
        <w:rPr>
          <w:rFonts w:eastAsia="Calibri"/>
          <w:lang w:val="bg-BG"/>
        </w:rPr>
      </w:pPr>
    </w:p>
    <w:p w:rsidR="00B45F36" w:rsidRPr="00D56325" w:rsidRDefault="00B45F36" w:rsidP="00B45F36">
      <w:pPr>
        <w:widowControl/>
        <w:tabs>
          <w:tab w:val="left" w:pos="8010"/>
        </w:tabs>
        <w:autoSpaceDE/>
        <w:autoSpaceDN/>
        <w:jc w:val="center"/>
        <w:rPr>
          <w:rFonts w:eastAsia="Calibri"/>
          <w:lang w:val="bg-BG"/>
        </w:rPr>
      </w:pPr>
    </w:p>
    <w:p w:rsidR="00B45F36" w:rsidRPr="00D56325" w:rsidRDefault="00B45F36" w:rsidP="00B45F36">
      <w:pPr>
        <w:widowControl/>
        <w:autoSpaceDE/>
        <w:autoSpaceDN/>
        <w:jc w:val="both"/>
        <w:rPr>
          <w:rFonts w:eastAsia="Calibri"/>
          <w:lang w:val="bg-BG"/>
        </w:rPr>
      </w:pPr>
      <w:r w:rsidRPr="00D56325">
        <w:rPr>
          <w:rFonts w:eastAsia="Calibri"/>
          <w:lang w:val="bg-BG"/>
        </w:rPr>
        <w:br w:type="page"/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1" w:name="_Toc482357591"/>
      <w:bookmarkStart w:id="2" w:name="_Toc505531803"/>
      <w:r w:rsidRPr="00D56325">
        <w:rPr>
          <w:b/>
          <w:sz w:val="24"/>
          <w:szCs w:val="24"/>
          <w:lang w:val="bg-BG"/>
        </w:rPr>
        <w:lastRenderedPageBreak/>
        <w:t>Описание на предмета на поръчката</w:t>
      </w:r>
      <w:bookmarkEnd w:id="1"/>
      <w:bookmarkEnd w:id="2"/>
    </w:p>
    <w:p w:rsidR="00CC7ECC" w:rsidRPr="00D56325" w:rsidRDefault="00CC7ECC" w:rsidP="00CC7ECC">
      <w:pPr>
        <w:widowControl/>
        <w:numPr>
          <w:ilvl w:val="1"/>
          <w:numId w:val="20"/>
        </w:numPr>
        <w:autoSpaceDE/>
        <w:autoSpaceDN/>
        <w:ind w:left="0" w:firstLine="621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Настоящата обществена поръчка е с предмет „Строително-монтажни работи на обект „Морски клуб в УПИ </w:t>
      </w:r>
      <w:r w:rsidRPr="00D56325">
        <w:rPr>
          <w:rFonts w:eastAsia="Calibri"/>
          <w:sz w:val="24"/>
          <w:szCs w:val="24"/>
        </w:rPr>
        <w:t>XIII</w:t>
      </w:r>
      <w:r w:rsidRPr="00D56325">
        <w:rPr>
          <w:rFonts w:eastAsia="Calibri"/>
          <w:sz w:val="24"/>
          <w:szCs w:val="24"/>
          <w:lang w:val="bg-BG"/>
        </w:rPr>
        <w:t>,</w:t>
      </w:r>
      <w:r w:rsidRPr="00D56325">
        <w:rPr>
          <w:rFonts w:eastAsia="Calibri"/>
          <w:sz w:val="24"/>
          <w:szCs w:val="24"/>
        </w:rPr>
        <w:t xml:space="preserve"> </w:t>
      </w:r>
      <w:r w:rsidRPr="00D56325">
        <w:rPr>
          <w:rFonts w:eastAsia="Calibri"/>
          <w:sz w:val="24"/>
          <w:szCs w:val="24"/>
          <w:lang w:val="bg-BG"/>
        </w:rPr>
        <w:t xml:space="preserve">кв. 9 по ПУП-ХР на СО „Кария”, в изпълнение на проект </w:t>
      </w:r>
      <w:r w:rsidRPr="00D56325">
        <w:rPr>
          <w:rFonts w:eastAsia="Calibri"/>
          <w:bCs/>
          <w:sz w:val="24"/>
          <w:szCs w:val="24"/>
          <w:shd w:val="clear" w:color="auto" w:fill="FFFFFF"/>
          <w:lang w:val="bg-BG"/>
        </w:rPr>
        <w:t>„Изграждане на Морски клуб в рибарско селище Кария, община Шабла”</w:t>
      </w:r>
      <w:r w:rsidRPr="00D56325">
        <w:rPr>
          <w:sz w:val="24"/>
          <w:szCs w:val="24"/>
          <w:lang w:val="bg-BG" w:eastAsia="bg-BG"/>
        </w:rPr>
        <w:t>, който се осъществява</w:t>
      </w:r>
      <w:r w:rsidRPr="00D56325">
        <w:rPr>
          <w:rFonts w:eastAsia="Calibri"/>
          <w:sz w:val="24"/>
          <w:szCs w:val="24"/>
          <w:lang w:val="bg-BG"/>
        </w:rPr>
        <w:t xml:space="preserve"> по Мярка </w:t>
      </w:r>
      <w:r w:rsidRPr="00D56325">
        <w:rPr>
          <w:sz w:val="24"/>
          <w:szCs w:val="24"/>
          <w:lang w:val="bg-BG" w:eastAsia="bg-BG"/>
        </w:rPr>
  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  </w:r>
      <w:r w:rsidRPr="00D56325">
        <w:rPr>
          <w:rFonts w:eastAsia="Calibri"/>
          <w:sz w:val="24"/>
          <w:szCs w:val="24"/>
          <w:lang w:val="bg-BG"/>
        </w:rPr>
        <w:t xml:space="preserve">, финансиран по Стратегия за ВОМР на МИРГ Шабла –  Каварна – Балчик от </w:t>
      </w:r>
      <w:r w:rsidRPr="00D56325">
        <w:rPr>
          <w:sz w:val="24"/>
          <w:szCs w:val="24"/>
          <w:lang w:val="bg-BG" w:eastAsia="bg-BG"/>
        </w:rPr>
        <w:t>Програма за морско дело и рибарство 2014-2020</w:t>
      </w:r>
      <w:r w:rsidRPr="00D56325">
        <w:rPr>
          <w:rFonts w:eastAsia="Calibri"/>
          <w:sz w:val="24"/>
          <w:szCs w:val="24"/>
          <w:lang w:val="bg-BG"/>
        </w:rPr>
        <w:t>, с финансовата подкрепа на ЕС чрез Европейския фонд за морско дело и рибарство и Националния бюджет на Република България (Проекта).</w:t>
      </w:r>
    </w:p>
    <w:p w:rsidR="00CC7ECC" w:rsidRPr="00D56325" w:rsidRDefault="00CC7ECC" w:rsidP="00CC7ECC">
      <w:pPr>
        <w:widowControl/>
        <w:numPr>
          <w:ilvl w:val="1"/>
          <w:numId w:val="20"/>
        </w:numPr>
        <w:autoSpaceDE/>
        <w:autoSpaceDN/>
        <w:ind w:left="0" w:firstLine="621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В резултат от изпълнението на Договор №Д-160/08.10.2018 г., е изработен Технически проект за обект „Обслужваща сграда в ПИ 83017.505.459, УПИ </w:t>
      </w:r>
      <w:r w:rsidRPr="00D56325">
        <w:rPr>
          <w:rFonts w:eastAsia="Calibri"/>
          <w:sz w:val="24"/>
          <w:szCs w:val="24"/>
        </w:rPr>
        <w:t xml:space="preserve">IV; </w:t>
      </w:r>
      <w:r w:rsidRPr="00D56325">
        <w:rPr>
          <w:rFonts w:eastAsia="Calibri"/>
          <w:sz w:val="24"/>
          <w:szCs w:val="24"/>
          <w:lang w:val="bg-BG"/>
        </w:rPr>
        <w:t xml:space="preserve">кв. 5 по ПУП-ПР на СО „Кария”, общ. Шабла“. С одобрения Технически проект към издаденото разрешение за строеж № 28 от 21.08.2019 г., </w:t>
      </w:r>
      <w:bookmarkStart w:id="3" w:name="_Toc505531804"/>
      <w:r w:rsidRPr="00D56325">
        <w:rPr>
          <w:rFonts w:eastAsia="Calibri"/>
          <w:sz w:val="24"/>
          <w:szCs w:val="24"/>
          <w:lang w:val="bg-BG"/>
        </w:rPr>
        <w:t>Обществената поръчка ще се финансира</w:t>
      </w:r>
      <w:r w:rsidRPr="00D56325">
        <w:rPr>
          <w:sz w:val="24"/>
          <w:szCs w:val="24"/>
          <w:lang w:val="bg-BG" w:eastAsia="bg-BG"/>
        </w:rPr>
        <w:t xml:space="preserve"> </w:t>
      </w:r>
      <w:r w:rsidRPr="00D56325">
        <w:rPr>
          <w:rFonts w:eastAsia="Calibri"/>
          <w:sz w:val="24"/>
          <w:szCs w:val="24"/>
          <w:lang w:val="bg-BG"/>
        </w:rPr>
        <w:t xml:space="preserve">по Мярка </w:t>
      </w:r>
      <w:r w:rsidRPr="00D56325">
        <w:rPr>
          <w:sz w:val="24"/>
          <w:szCs w:val="24"/>
          <w:lang w:val="bg-BG" w:eastAsia="bg-BG"/>
        </w:rPr>
  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  </w:r>
      <w:r w:rsidRPr="00D56325">
        <w:rPr>
          <w:rFonts w:eastAsia="Calibri"/>
          <w:sz w:val="24"/>
          <w:szCs w:val="24"/>
          <w:lang w:val="bg-BG"/>
        </w:rPr>
        <w:t xml:space="preserve"> от Стратегия за ВОМР  на МИРГ Шабла- Каварна – Балчик от </w:t>
      </w:r>
      <w:r w:rsidRPr="00D56325">
        <w:rPr>
          <w:sz w:val="24"/>
          <w:szCs w:val="24"/>
          <w:lang w:val="bg-BG" w:eastAsia="bg-BG"/>
        </w:rPr>
        <w:t>Програма за морско дело и рибарство 2014-2020</w:t>
      </w:r>
      <w:r w:rsidRPr="00D56325">
        <w:rPr>
          <w:rFonts w:eastAsia="Calibri"/>
          <w:sz w:val="24"/>
          <w:szCs w:val="24"/>
          <w:lang w:val="bg-BG"/>
        </w:rPr>
        <w:t>, с финансовата подкрепа на ЕС чрез Европейския фонд за морско дело и рибарство и Националния бюджет на Република България.</w:t>
      </w:r>
    </w:p>
    <w:p w:rsidR="00CC7ECC" w:rsidRPr="00D56325" w:rsidRDefault="00CC7ECC" w:rsidP="00CC7ECC">
      <w:pPr>
        <w:widowControl/>
        <w:numPr>
          <w:ilvl w:val="0"/>
          <w:numId w:val="19"/>
        </w:numPr>
        <w:autoSpaceDE/>
        <w:autoSpaceDN/>
        <w:ind w:left="0" w:firstLine="0"/>
        <w:jc w:val="both"/>
        <w:rPr>
          <w:rFonts w:eastAsia="Calibri"/>
          <w:b/>
          <w:sz w:val="24"/>
          <w:szCs w:val="24"/>
          <w:lang w:val="bg-BG"/>
        </w:rPr>
      </w:pPr>
      <w:r w:rsidRPr="00D56325">
        <w:rPr>
          <w:rFonts w:eastAsia="Calibri"/>
          <w:b/>
          <w:sz w:val="24"/>
          <w:szCs w:val="24"/>
          <w:lang w:val="bg-BG"/>
        </w:rPr>
        <w:t>Изходни данни</w:t>
      </w:r>
      <w:bookmarkEnd w:id="3"/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right="1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shd w:val="clear" w:color="auto" w:fill="FFFFFF"/>
          <w:lang w:val="bg-BG"/>
        </w:rPr>
        <w:t xml:space="preserve">Инвестиционният проект на „Морски клуб в УПИ </w:t>
      </w:r>
      <w:r w:rsidRPr="00D56325">
        <w:rPr>
          <w:rFonts w:eastAsia="Calibri"/>
          <w:sz w:val="24"/>
          <w:szCs w:val="24"/>
          <w:shd w:val="clear" w:color="auto" w:fill="FFFFFF"/>
        </w:rPr>
        <w:t xml:space="preserve">XIII, </w:t>
      </w:r>
      <w:r w:rsidRPr="00D56325">
        <w:rPr>
          <w:rFonts w:eastAsia="Calibri"/>
          <w:sz w:val="24"/>
          <w:szCs w:val="24"/>
          <w:shd w:val="clear" w:color="auto" w:fill="FFFFFF"/>
          <w:lang w:val="bg-BG"/>
        </w:rPr>
        <w:t>кв. 9 по ПУП-ХР на СО „Кария” е разработен по техническо задание във фаза Технически проект. Имотът е публична общинска собственост. Имотът е отреден за морски клуб и пристанищна инфраструктура. Релефа на имота е равнинен със среден наклон 2.0% в посока от запад към изток.  В източната част на имота е образувано малко дере, което ще се използва при ситуиране на сградата, за да се намалят изкопните работи.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right="1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Размерът и границите на необходимата площадка за реализиране на инвестиционното намерение са в рамките на поземления имот. Застрояването ще бъде разположено в рамките на ограничителните линии, предвидени в действащия ПУП-ПЗ.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right="1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Съгласно заданието за проектиране, проектът предвижда изграждане на сграда на два етажа – монолитен сутерен от стоманобетон, частично вкопан в терена за гараж и обслужващи помещения и етаж за учебни и обслужващи дейности с метална конструкция –монтажно-сглобяем начин на изпълнение. Максималната височина на сградата е с кота корниз +6.58 м. от средното ниво на прилежащия терен. Спазени са отстоянията до дъното на имота (възможната дълбочина на застрояване) и до страничните регулационни граници.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right="1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 Подходът към сградата се намира в северозападната част, на междинно ниво между двата етажа (кота -0.85), с външна стълба. Чрез вътрешна метална вита стълба се осъществява връзката между двата етажа. На кота 0.00 са разположени учебна зала с хранилище – 38.8 кв.м., канцелария 1- 16 кв. м., канцелария 2 – 15.4 кв. м., антре с коридор и метална стълба – 12.7 кв.м., две тоалетни с преддверия за мъже и жени – всяка по 2.6 кв.м. От учебната зала и канцелария 1 се излиза на покрита с метална пергола тераса.</w:t>
      </w:r>
    </w:p>
    <w:p w:rsidR="00CC7ECC" w:rsidRPr="00D56325" w:rsidRDefault="00CC7ECC" w:rsidP="00CC7ECC">
      <w:pPr>
        <w:widowControl/>
        <w:autoSpaceDE/>
        <w:autoSpaceDN/>
        <w:ind w:right="1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lastRenderedPageBreak/>
        <w:t>На коти – 3.00 м.; - 4.00 м. е разположен приземен етаж, който е вкопан частично от северозапад. На кота – 3.00 м е разположена канцелария – склад с площ 15.4 кв. м. със самостоятелен вход. На кота – 4.00 м. от югоизточната страна е осигурен достъп, чрез две гаражни врати, до хангар – гараж за лодки (90 кв.м.). Към гаража е предвиден склад за инвентар – 12.8 кв. м. От гаража през преддверие със стълбище се стига до втория етаж. На това ниво, също така се намират съблекалня с гардероби, помещение с две бани и тоалетна с обща площ 11.6 кв.м.</w:t>
      </w:r>
      <w:r w:rsidRPr="00D56325">
        <w:rPr>
          <w:rFonts w:eastAsia="Calibri"/>
          <w:sz w:val="24"/>
          <w:szCs w:val="24"/>
          <w:shd w:val="clear" w:color="auto" w:fill="FFFFFF"/>
          <w:lang w:val="bg-BG"/>
        </w:rPr>
        <w:t xml:space="preserve"> Предвидено е изграждане на спомагателна рампа, която ще способства за спускането на лодки от улицата до морето и прибирането им в гаража.</w:t>
      </w:r>
      <w:r w:rsidRPr="00D56325">
        <w:rPr>
          <w:rFonts w:eastAsia="Calibri"/>
          <w:sz w:val="24"/>
          <w:szCs w:val="24"/>
          <w:lang w:val="bg-BG"/>
        </w:rPr>
        <w:t xml:space="preserve"> Същата е с наклон 16 %.</w:t>
      </w:r>
      <w:r w:rsidRPr="00D56325">
        <w:rPr>
          <w:rFonts w:eastAsia="Calibri"/>
          <w:sz w:val="24"/>
          <w:szCs w:val="24"/>
          <w:shd w:val="clear" w:color="auto" w:fill="FFFFFF"/>
          <w:lang w:val="bg-BG"/>
        </w:rPr>
        <w:t xml:space="preserve">  Необходимо е стационарно монтиране на две лебедки - за плавателни съдове.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right="1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Около сградата са предвидени площадки и път с трайна настилка. Настилката между сградата и паркинга, както и тази от западната страна на сградата е предвидено да се изгради с бетонови тротоарни плочи, а тази на паркинга е от бетонови паркинг елементи на тревна фуга. Паркирането на транспортни средства ще се осъществява, както в рамките на парцела, от западната страна на сградата, където има възможност за свободно маневриране, така и на предвидения в плана за регулация паркинг за 9 автомобила, разположен западно от парцела. Теренът е със стръмен наклон в посока от северозапад към югоизток. От източната страна на сградата е предвидена площадка с армирана бетонова настилка, по която ще могат да се изтеглят лодките от морето до хангара.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right="1" w:firstLine="567"/>
        <w:jc w:val="both"/>
        <w:rPr>
          <w:rFonts w:eastAsia="Calibri"/>
          <w:sz w:val="24"/>
          <w:szCs w:val="24"/>
          <w:highlight w:val="yellow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Конструкцията на сградата е смесена. Със стоманобетонова конструкция ще се изгради приземния етаж. (на коти -3.00 м; - 4.00 м.). Първия етаж (на кота 0.00 м.) е от скелетна метална конструкция  и стоманени ферми. Ограждащите външни стени са панели, тип сандвич,  с дебелина 100 мм. Вътрешните стени са от гипсокартон, монтиран върху конструкция от поцинкована ламарина (система „Кнауф)”.  Подовата конструкция е СтБ плоча с деб. 15 см. Покривът на сградата е едноскатен, изпълнен от покривни сандвич панели с дебелина 100 мм. Отвеждането на атмосферните води е външно, чрез улици и водосточни тръби. Захранването с вода за питейно- битови нужди става от съществуващ водопровод, минаващ през парцела /полиетиленови тръби – висока плътност – ф90/10/. Отпадъчните води ще постъпват в новопроектирана водоплътна изгребна яма. Дограмата е алуминиева и „</w:t>
      </w:r>
      <w:r w:rsidRPr="00D56325">
        <w:rPr>
          <w:rFonts w:eastAsia="Calibri"/>
          <w:sz w:val="24"/>
          <w:szCs w:val="24"/>
        </w:rPr>
        <w:t>PVC</w:t>
      </w:r>
      <w:r w:rsidRPr="00D56325">
        <w:rPr>
          <w:rFonts w:eastAsia="Calibri"/>
          <w:sz w:val="24"/>
          <w:szCs w:val="24"/>
          <w:lang w:val="bg-BG"/>
        </w:rPr>
        <w:t>”</w:t>
      </w:r>
      <w:r w:rsidRPr="00D56325">
        <w:rPr>
          <w:rFonts w:eastAsia="Calibri"/>
          <w:sz w:val="24"/>
          <w:szCs w:val="24"/>
        </w:rPr>
        <w:t xml:space="preserve"> </w:t>
      </w:r>
      <w:r w:rsidRPr="00D56325">
        <w:rPr>
          <w:rFonts w:eastAsia="Calibri"/>
          <w:sz w:val="24"/>
          <w:szCs w:val="24"/>
          <w:lang w:val="bg-BG"/>
        </w:rPr>
        <w:t>със стъклопакет. Външните ограждащи стени от стоманобетон ще се изолират с топлоизолация с дебелина 50 мм, която ще се изпълни по отделен проект за енергийна ефективност. Топлоизолацията ще се покрие с мазилка. За цветовото оформление на сградата ще бъдат използвани подходящи по цвят и фактура облицовки и мазилки.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Строежът, предмет на настоящата поръчка е определен за </w:t>
      </w:r>
      <w:r w:rsidRPr="00D56325">
        <w:rPr>
          <w:rFonts w:eastAsia="Calibri"/>
          <w:sz w:val="24"/>
          <w:szCs w:val="24"/>
        </w:rPr>
        <w:t>V</w:t>
      </w:r>
      <w:r w:rsidRPr="00D56325">
        <w:rPr>
          <w:rFonts w:eastAsia="Calibri"/>
          <w:sz w:val="24"/>
          <w:szCs w:val="24"/>
          <w:lang w:val="bg-BG"/>
        </w:rPr>
        <w:t xml:space="preserve"> категория, съгласно чл. </w:t>
      </w:r>
      <w:r w:rsidRPr="00D56325">
        <w:rPr>
          <w:rFonts w:eastAsia="Calibri"/>
          <w:sz w:val="24"/>
          <w:szCs w:val="24"/>
        </w:rPr>
        <w:t>137</w:t>
      </w:r>
      <w:r w:rsidRPr="00D56325">
        <w:rPr>
          <w:rFonts w:eastAsia="Calibri"/>
          <w:sz w:val="24"/>
          <w:szCs w:val="24"/>
          <w:lang w:val="bg-BG"/>
        </w:rPr>
        <w:t xml:space="preserve">, ал. </w:t>
      </w:r>
      <w:r w:rsidRPr="00D56325">
        <w:rPr>
          <w:rFonts w:eastAsia="Calibri"/>
          <w:sz w:val="24"/>
          <w:szCs w:val="24"/>
        </w:rPr>
        <w:t xml:space="preserve">1, </w:t>
      </w:r>
      <w:r w:rsidRPr="00D56325">
        <w:rPr>
          <w:rFonts w:eastAsia="Calibri"/>
          <w:sz w:val="24"/>
          <w:szCs w:val="24"/>
          <w:lang w:val="bg-BG"/>
        </w:rPr>
        <w:t>т. 4, буква „а</w:t>
      </w:r>
      <w:proofErr w:type="gramStart"/>
      <w:r w:rsidRPr="00D56325">
        <w:rPr>
          <w:rFonts w:eastAsia="Calibri"/>
          <w:sz w:val="24"/>
          <w:szCs w:val="24"/>
          <w:lang w:val="bg-BG"/>
        </w:rPr>
        <w:t>“ от</w:t>
      </w:r>
      <w:proofErr w:type="gramEnd"/>
      <w:r w:rsidRPr="00D56325">
        <w:rPr>
          <w:rFonts w:eastAsia="Calibri"/>
          <w:sz w:val="24"/>
          <w:szCs w:val="24"/>
          <w:lang w:val="bg-BG"/>
        </w:rPr>
        <w:t xml:space="preserve"> ЗУТ.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За целите на извършване на СМР е изготвена техническа документация по части: </w:t>
      </w:r>
    </w:p>
    <w:p w:rsidR="00CC7ECC" w:rsidRPr="00D56325" w:rsidRDefault="00CC7ECC" w:rsidP="00CC7ECC">
      <w:pPr>
        <w:widowControl/>
        <w:numPr>
          <w:ilvl w:val="0"/>
          <w:numId w:val="2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Архитектура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1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2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Конструкции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2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2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Геодезия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3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2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ВиК (</w:t>
      </w:r>
      <w:r w:rsidRPr="00D56325">
        <w:rPr>
          <w:rFonts w:eastAsia="Calibri"/>
          <w:b/>
          <w:sz w:val="24"/>
          <w:szCs w:val="24"/>
          <w:lang w:val="bg-BG"/>
        </w:rPr>
        <w:t xml:space="preserve">Приложение № 4 </w:t>
      </w:r>
      <w:r w:rsidRPr="00D56325">
        <w:rPr>
          <w:rFonts w:eastAsia="Calibri"/>
          <w:sz w:val="24"/>
          <w:szCs w:val="24"/>
          <w:lang w:val="bg-BG"/>
        </w:rPr>
        <w:t xml:space="preserve">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2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Електрическа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5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2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Паркоустройство и благоустройство 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6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</w:t>
      </w:r>
    </w:p>
    <w:p w:rsidR="00CC7ECC" w:rsidRPr="00D56325" w:rsidRDefault="00CC7ECC" w:rsidP="00CC7ECC">
      <w:pPr>
        <w:widowControl/>
        <w:numPr>
          <w:ilvl w:val="0"/>
          <w:numId w:val="2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lastRenderedPageBreak/>
        <w:t>Пожарна безопасност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7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2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Енергийна ефективност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8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За целите на извършване на СМР са изготвени необходимите количествени сметки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9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Техническите спецификации).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Техническата документация – приложения по т. 2.8 и 2.9, представляват неразделна част от настоящите Технически спецификации.</w:t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4" w:name="_Toc505531805"/>
      <w:bookmarkStart w:id="5" w:name="_Toc482357596"/>
      <w:r w:rsidRPr="00D56325">
        <w:rPr>
          <w:b/>
          <w:sz w:val="24"/>
          <w:szCs w:val="24"/>
          <w:lang w:val="bg-BG"/>
        </w:rPr>
        <w:t>Общи изисквания към изпълнението на поръчката</w:t>
      </w:r>
      <w:bookmarkEnd w:id="4"/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Обхватът на работа по изграждане на горепосочения обект включва минимум, но не се ограничава, в следните задължения на изпълнителя по настоящата обществена поръчка: </w:t>
      </w:r>
    </w:p>
    <w:p w:rsidR="00CC7ECC" w:rsidRPr="00D56325" w:rsidRDefault="00CC7ECC" w:rsidP="00CC7ECC">
      <w:pPr>
        <w:widowControl/>
        <w:numPr>
          <w:ilvl w:val="0"/>
          <w:numId w:val="2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Подготовка на строителната площадка; </w:t>
      </w:r>
    </w:p>
    <w:p w:rsidR="00CC7ECC" w:rsidRPr="00D56325" w:rsidRDefault="00CC7ECC" w:rsidP="00CC7ECC">
      <w:pPr>
        <w:widowControl/>
        <w:numPr>
          <w:ilvl w:val="0"/>
          <w:numId w:val="2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Доставка на суровини и материали, осигуряване на механизация, работна сила и всякакви услуги и дейности, необходими за изпълнение на строителството; </w:t>
      </w:r>
    </w:p>
    <w:p w:rsidR="00CC7ECC" w:rsidRPr="00D56325" w:rsidRDefault="00CC7ECC" w:rsidP="00CC7ECC">
      <w:pPr>
        <w:widowControl/>
        <w:numPr>
          <w:ilvl w:val="0"/>
          <w:numId w:val="2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Изпълнение на строително-монтажни работи в съответствие с одобрената техническа документация и настоящите технически спецификации; </w:t>
      </w:r>
    </w:p>
    <w:p w:rsidR="00CC7ECC" w:rsidRPr="00D56325" w:rsidRDefault="00CC7ECC" w:rsidP="00CC7ECC">
      <w:pPr>
        <w:widowControl/>
        <w:numPr>
          <w:ilvl w:val="0"/>
          <w:numId w:val="2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Въвеждане в експлоатация, изготвяне и </w:t>
      </w:r>
      <w:bookmarkStart w:id="6" w:name="_Hlk505078216"/>
      <w:r w:rsidRPr="00D56325">
        <w:rPr>
          <w:rFonts w:eastAsia="Calibri"/>
          <w:sz w:val="24"/>
          <w:szCs w:val="24"/>
          <w:lang w:val="bg-BG"/>
        </w:rPr>
        <w:t>предаване на пълна екзекутивна документация на обекта</w:t>
      </w:r>
      <w:bookmarkEnd w:id="6"/>
      <w:r w:rsidRPr="00D56325">
        <w:rPr>
          <w:rFonts w:eastAsia="Calibri"/>
          <w:sz w:val="24"/>
          <w:szCs w:val="24"/>
          <w:lang w:val="bg-BG"/>
        </w:rPr>
        <w:t xml:space="preserve">; </w:t>
      </w:r>
    </w:p>
    <w:p w:rsidR="00CC7ECC" w:rsidRPr="00D56325" w:rsidRDefault="00CC7ECC" w:rsidP="00CC7ECC">
      <w:pPr>
        <w:widowControl/>
        <w:numPr>
          <w:ilvl w:val="0"/>
          <w:numId w:val="2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Отстраняване на дефекти през гаранционните срокове съобразно нормативната уредба; </w:t>
      </w:r>
    </w:p>
    <w:p w:rsidR="00CC7ECC" w:rsidRPr="00D56325" w:rsidRDefault="00CC7ECC" w:rsidP="00CC7ECC">
      <w:pPr>
        <w:widowControl/>
        <w:numPr>
          <w:ilvl w:val="0"/>
          <w:numId w:val="2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Изпълнение на административните изисквания към дейността на изпълнителя съгласно приложимата нормативна уредба, тези спецификации и договора за изпълнение на СМР.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0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Изпълнителят следва да извърши строително-монтажните работи съгласно изготвените проекти и спецификации, както и въз основа на разрешението за строеж и заповедите, дадени писмено в заповедната книга на обекта.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0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Изпълнителят трябва да осигури законосъобразно, качествено и срочно започване, изпълнение и завършване на строителството, включително доставка на строителни продукти, механизация, работна сила и всякакви услуги и дейности, необходими за изпълнение на строителството в съответствие с настоящите технически спецификации и инвестиционния проект, съгласно ЗУТ и подзаконовите нормативни актове по прилагането му, всички други действащи нормативни документи и договора за настоящата поръчка.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В рамките на предложената цена за изпълнението на настоящата поръчка, независимо дали са изрично посочени или не в количествено-стойностната сметка, изпълнителят трябва да извърши следните дейности:</w:t>
      </w:r>
    </w:p>
    <w:p w:rsidR="00CC7ECC" w:rsidRPr="00D56325" w:rsidRDefault="00CC7ECC" w:rsidP="00CC7ECC">
      <w:pPr>
        <w:widowControl/>
        <w:numPr>
          <w:ilvl w:val="0"/>
          <w:numId w:val="2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Подготовка на строителната площадка и временно строителство, вкл. почистване от растителност и отпадъци, подготовка на терена (временна вертикална планировка); </w:t>
      </w:r>
    </w:p>
    <w:p w:rsidR="00CC7ECC" w:rsidRPr="00D56325" w:rsidRDefault="00CC7ECC" w:rsidP="00CC7ECC">
      <w:pPr>
        <w:widowControl/>
        <w:numPr>
          <w:ilvl w:val="0"/>
          <w:numId w:val="2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Доставка на инвентарни фургони за офиси за нуждите на изпълнителя, складове, ограда, санитарно-битови помещения, външни връзки (временно водоснабдяване и временно електрозахранване), временно осветление, временна сигнализация, временна организация на движението и др., в съответствие с действащите нормативни изисквания и проектни решения с </w:t>
      </w:r>
      <w:r w:rsidRPr="00D56325">
        <w:rPr>
          <w:rFonts w:eastAsia="Calibri"/>
          <w:color w:val="000000"/>
          <w:sz w:val="24"/>
          <w:szCs w:val="24"/>
          <w:lang w:val="bg-BG"/>
        </w:rPr>
        <w:t>ПБЗ,</w:t>
      </w:r>
      <w:r w:rsidRPr="00D56325">
        <w:rPr>
          <w:rFonts w:eastAsia="Calibri"/>
          <w:sz w:val="24"/>
          <w:szCs w:val="24"/>
          <w:lang w:val="bg-BG"/>
        </w:rPr>
        <w:t xml:space="preserve"> и поддръжка на същото през целия срок на строителството;</w:t>
      </w:r>
    </w:p>
    <w:p w:rsidR="00CC7ECC" w:rsidRPr="00D56325" w:rsidRDefault="00CC7ECC" w:rsidP="00CC7ECC">
      <w:pPr>
        <w:widowControl/>
        <w:numPr>
          <w:ilvl w:val="0"/>
          <w:numId w:val="2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lastRenderedPageBreak/>
        <w:t>Охрана на обекта за целия срок на изпълнение на строителството до подписване на Констативен акт за установяване годността за приемане на строежа (Акт образец 15 от Наредба №3 за съставяне на актове и протоколи по време на строителството), почистване на площадката от строителни и битови отпадъци и своевременното им извозване извън строителната площадка на регламентирани за целта места;</w:t>
      </w:r>
    </w:p>
    <w:p w:rsidR="00CC7ECC" w:rsidRPr="00D56325" w:rsidRDefault="00CC7ECC" w:rsidP="00CC7ECC">
      <w:pPr>
        <w:widowControl/>
        <w:numPr>
          <w:ilvl w:val="0"/>
          <w:numId w:val="2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Извършване на СМР съобразно предвижданията на проектната документация, включително на всички инсталации и съоръжения, по начин, при който да позволи въвеждането на обекта в експлоатация в съответствие с приложимите нормативни изисквания и изискванията на Възложителя;</w:t>
      </w:r>
    </w:p>
    <w:p w:rsidR="00CC7ECC" w:rsidRPr="00D56325" w:rsidRDefault="00CC7ECC" w:rsidP="00CC7ECC">
      <w:pPr>
        <w:widowControl/>
        <w:numPr>
          <w:ilvl w:val="0"/>
          <w:numId w:val="2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Спазване по време на строителството на всички нормативни изисквания за осигуряване на здравословни и безопасни условия на труд и за пожарна безопасност на строежа, и на всички приложими екологични норми, норми за прах, шум, замърсяване, охрана, осветление, организация на движението и други приложими норми към обекта;</w:t>
      </w:r>
    </w:p>
    <w:p w:rsidR="00CC7ECC" w:rsidRPr="00D56325" w:rsidRDefault="00CC7ECC" w:rsidP="00CC7ECC">
      <w:pPr>
        <w:widowControl/>
        <w:numPr>
          <w:ilvl w:val="0"/>
          <w:numId w:val="2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Премахване на всякакво временно строителство и отпадъци след приключване на строителството и дейности по рехабилитация на засегнатите от строителството територия и съоръжения, вкл. извън строителната площадка, ако има такива.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СМР трябва да се подготвят, изпълняват, проверяват и приемат в съответствие с предписанията в проектната документация, изискванията на техническите спецификации, приложимата нормативна уредба, изискванията на приложимите Правила за извършване и приемане на строителни и монтажни работи, действащите стандарти и изискванията и указанията на производителите на строителните продукти.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За работи, за които липсват нормативни документи с изисквания за изпълнение и приемане или съответни предвиждания в техническата документация, ще се спазват изискванията, инструкциите и указанията на производителя на материалите (където е приложимо), стандартите и добрите практики.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Стандартите на изработка и материалите трябва да съответстват на предвижданията на техническата документация. В случаите, в които липсва описание за някой тип работа, материал или производствен артикул, те трябва да бъдат в съответствие с последните издания на инженерната практика в отрасъла и правилата на водещите стандарти, респективно – в съответствие с нормативни документи, и подлежат на одобрение от Възложителя в разумен срок преди влагане.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Във всички случаи, в които в техническата документация са цитирани международни, национални или отраслови стандарти (или техни еквиваленти), на които трябва да отговарят строителните продукти, изпълнението на СМР и изпитването, ще се прилагат актуалните последни издания на съответните стандарти и технически норми.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За некачествени ще се считат работите, които не отговарят на изискванията, указани в техническата документация, Техническите спецификации, действащите нормативни изисквания или общоприети технически стандарти. При несъответствие в изискванията, предимство имат изискванията за завишено качество.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Некачествено извършени работи не подлежат на приемане. Изпълнителят ще бъде длъжен да извършва за своя сметка всички работи по отстраняване на допуснати грешки, </w:t>
      </w:r>
      <w:r w:rsidRPr="00D56325">
        <w:rPr>
          <w:rFonts w:eastAsia="Calibri"/>
          <w:sz w:val="24"/>
          <w:szCs w:val="24"/>
          <w:lang w:val="bg-BG"/>
        </w:rPr>
        <w:lastRenderedPageBreak/>
        <w:t>недостатъци и други дефекти, дължащи се на некачествено изпълнение на договорените видове работи.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Завършването на определена работа и заплащането за нея не освобождава изпълнителя от неговите задължения относно качеството на извършените СМР и вложени строителни продукти до момента. Независимо от преминати междинни изпитвания и преходни плащания, изработеното няма да се счита за окончателно прието до подписване на протокола за приемане и предаване на изпълнението на договора за обществена поръчка.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Изпълнителят се задължава да осигури на обекта правоспособен персонал с необходимата квалификация, оборудване, инструменти и механизация, които ще са ефективни и подходящи за изпълняваните работи с необходимото качество и количество за изпълнение на графика за изпълнение на строителството.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Изпълнителят следва да използва само механизация в добро техническо състояние, в мащаб и вид, които позволяват доброто изпълнение на различните дейности, в рамките на определения срок. Ако оборудването на изпълнителя не е ефективно или подходящо, или е недостатъчно, Възложителят може да изиска осигуряването на допълнителни ресурси, и изпълнителят ще бъде длъжен да се съобрази, с цел изпълнение на графика за строителство.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Всички постоянни работи трябва да бъдат изпълнени в съответствие с одобрените чертежи и размерите, отбелязани върху тях.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Изпълнителят се задължава да поддържа по време на изпълнение на обекта копие от техническата документация, върху която ще отразява ежедневно всички съгласувани от участниците в строителния процес несъществени отклонения от първоначално одобрените проекти и действителното състояние/местоположение на изпълнените работи. Никоя променена работа няма да се изпълнява, без да е предварително отразена в заповедната книга на обекта и съгласувана от техническия ръководител на обекта от страна на изпълнителя, от представител на Възложителя, от проектанта на съответната проектна част и от представител на осъществяващия строителния надзор.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След фактическото завършване на строежа, при подготовка за предаване на обекта, изпълнителят ще изготви екзекутивна документация, отразяваща несъществените отклонения от съгласуваните проекти, на основата на проектната документация, записите в заповедната книга, изработените допълнително или актуализирани проектни документи и чертежи, вкл. и отбелязаните на тях промени при изпълнение на СМР. При комплектуване на екзекутивната документация, в нея ще се посочат всички извършени промени и обясненията за тях.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Окончателна екзекутивна документация трябва да бъде заверена от участниците в строителния процес според нормативните изисквания.</w:t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7" w:name="_Toc505531806"/>
      <w:r w:rsidRPr="00D56325">
        <w:rPr>
          <w:b/>
          <w:sz w:val="24"/>
          <w:szCs w:val="24"/>
          <w:lang w:val="bg-BG"/>
        </w:rPr>
        <w:t>Изисквания към строителните продукти</w:t>
      </w:r>
      <w:bookmarkEnd w:id="7"/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Строителните продукти, предназначени за трайно влагане в строежите трябва да са годни за предвижданата им употреба и да удовлетворяват основните изисквания към строежите в продължение на икономически обоснован период на експлоатация и да отговарят на съответните технически спецификации и националните изисквания по отношение на предвидената употреба. Характеристиките им трябва да са подходящи за </w:t>
      </w:r>
      <w:r w:rsidRPr="00D56325">
        <w:rPr>
          <w:rFonts w:eastAsia="Calibri"/>
          <w:sz w:val="24"/>
          <w:szCs w:val="24"/>
          <w:lang w:val="bg-BG"/>
        </w:rPr>
        <w:lastRenderedPageBreak/>
        <w:t>вграждане, монтиране, поставяне или инсталиране при проектиране на строежите и техните обновявания, ремонти и реконструкции.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Съгласно Регламент (ЕС) № 305/2011 за определяне на хармонизирани условия за предлагането на пазара на строителни продукти и за отмяна на Директива 89/106/ЕИО (Регламент (ЕС) № 305/2011): </w:t>
      </w:r>
    </w:p>
    <w:p w:rsidR="00CC7ECC" w:rsidRPr="00D56325" w:rsidRDefault="00CC7ECC" w:rsidP="00CC7ECC">
      <w:pPr>
        <w:widowControl/>
        <w:numPr>
          <w:ilvl w:val="0"/>
          <w:numId w:val="24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 „строителен продукт“ означава всеки продукт или комплект, който е произведен и пуснат на пазара за трайно влагане в строежи или в части от тях и чиито експлоатационни показатели имат отражение върху експлоатационните характеристики на строежите по отношение на основните изисквания към строежите;</w:t>
      </w:r>
    </w:p>
    <w:p w:rsidR="00CC7ECC" w:rsidRPr="00D56325" w:rsidRDefault="00CC7ECC" w:rsidP="00CC7ECC">
      <w:pPr>
        <w:widowControl/>
        <w:numPr>
          <w:ilvl w:val="0"/>
          <w:numId w:val="24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„комплект“ означава строителен продукт, пуснат на пазара от един-единствен производител, под формата на набор от най-малко два отделни компонента, които трябва да бъдат сглобени, за да бъдат вложени в строежите;</w:t>
      </w:r>
    </w:p>
    <w:p w:rsidR="00CC7ECC" w:rsidRPr="00D56325" w:rsidRDefault="00CC7ECC" w:rsidP="00CC7ECC">
      <w:pPr>
        <w:widowControl/>
        <w:numPr>
          <w:ilvl w:val="0"/>
          <w:numId w:val="24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„съществени характеристики“ означава онези характеристики на строителния продукт, които имат отношение към основните изисквания към строежите;</w:t>
      </w:r>
    </w:p>
    <w:p w:rsidR="00CC7ECC" w:rsidRPr="00D56325" w:rsidRDefault="00CC7ECC" w:rsidP="00CC7ECC">
      <w:pPr>
        <w:widowControl/>
        <w:numPr>
          <w:ilvl w:val="0"/>
          <w:numId w:val="24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„експлоатационни показатели на строителния продукт“ означава експлоатационните показатели, свързани със съответните съществени характеристики, изразени като ниво, клас или в описание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>Прилагането на техническите спецификации на строителните продукти ще се осъществява в съответствие с Регламент (ЕС) № 305/2011, Закон за техническите изисквания към продуктите и Наредбата за съществените изисквания към строежите и оценяване на съответствието на строителните продукти. Строителните продукти се влагат в строежите въз основа на съставени декларации, посочващи предвидената употреба и се придружават от инструкция и информация за безопасност на български език. Декларациите са:</w:t>
      </w:r>
    </w:p>
    <w:p w:rsidR="00CC7ECC" w:rsidRPr="00D56325" w:rsidRDefault="00CC7ECC" w:rsidP="00CC7ECC">
      <w:pPr>
        <w:widowControl/>
        <w:numPr>
          <w:ilvl w:val="0"/>
          <w:numId w:val="25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декларация за експлоатационни показатели съгласно изискванията на Регламент (ЕС) № 305/2011 и образеца, даден в приложение ІІІ на Регламент (ЕС) № 305/2011, когато за строителния продукт има хармонизиран европейски стандарт или е издадена Европейска техническа оценка. При съставена декларация за експлоатационни показатели на строителен продукт се нанася маркировка „СЕ“; </w:t>
      </w:r>
    </w:p>
    <w:p w:rsidR="00CC7ECC" w:rsidRPr="00D56325" w:rsidRDefault="00CC7ECC" w:rsidP="00CC7ECC">
      <w:pPr>
        <w:widowControl/>
        <w:numPr>
          <w:ilvl w:val="0"/>
          <w:numId w:val="25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декларация за характеристиките на строителния продукт, когато той не е обхванат от хармонизиран европейски стандарт или за него не е издадена ЕТО. При съставена декларация за характеристиките на строителен продукт не се нанася маркировката „СЕ“; </w:t>
      </w:r>
    </w:p>
    <w:p w:rsidR="00CC7ECC" w:rsidRPr="00D56325" w:rsidRDefault="00CC7ECC" w:rsidP="00CC7ECC">
      <w:pPr>
        <w:widowControl/>
        <w:numPr>
          <w:ilvl w:val="0"/>
          <w:numId w:val="25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декларация за съответствие с изискванията на инвестиционния проект, когато строителните продукти са произведени индивидуално или по заявка, не чрез серийно производство, за влагане в един единствен строеж.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Декларациите следва да демонстрират съответствие с българските национални изисквания по отношение на предвидената употреба или употреби, когато такива са определени.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На строежа се доставят само строителни продукти, които притежават подходящи характеристики за вграждане, монтиране, поставяне или инсталиране и само такива, които са заложени в проектите със съответните им технически характеристики, съответстващи на </w:t>
      </w:r>
      <w:r w:rsidRPr="00D56325">
        <w:rPr>
          <w:rFonts w:eastAsia="Calibri"/>
          <w:bCs/>
          <w:sz w:val="24"/>
          <w:szCs w:val="24"/>
          <w:lang w:val="bg-BG"/>
        </w:rPr>
        <w:lastRenderedPageBreak/>
        <w:t>техническите правила, норми и нормативи, определени със съответните нормативни актове за проектиране и строителство.</w:t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8" w:name="_Toc505531807"/>
      <w:r w:rsidRPr="00D56325">
        <w:rPr>
          <w:b/>
          <w:sz w:val="24"/>
          <w:szCs w:val="24"/>
          <w:lang w:val="bg-BG"/>
        </w:rPr>
        <w:t>Проби и изпитвания</w:t>
      </w:r>
      <w:bookmarkEnd w:id="8"/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>Целта на пробите и изпитванията е да се провери изпълнението на СМР и работата на оборудването и съответствието с изискванията на техническата документация.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>Всички проби и изпитвания ще се провеждат в съответствие с действащите норми и изискванията техническата  документация. Когато няма дефинирани изисквания в такива документи, пробите и изпитванията ще се провеждат според указанията на Възложителя, Проектанта и лицето осъществяващо строителния надзор.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>Всички проби и изпитвания трябва да са документирани и за тях да е указано най-малко:</w:t>
      </w:r>
    </w:p>
    <w:p w:rsidR="00CC7ECC" w:rsidRPr="00D56325" w:rsidRDefault="00CC7ECC" w:rsidP="00CC7ECC">
      <w:pPr>
        <w:widowControl/>
        <w:numPr>
          <w:ilvl w:val="0"/>
          <w:numId w:val="26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Дата на пробата/изпитването; </w:t>
      </w:r>
    </w:p>
    <w:p w:rsidR="00CC7ECC" w:rsidRPr="00D56325" w:rsidRDefault="00CC7ECC" w:rsidP="00CC7ECC">
      <w:pPr>
        <w:widowControl/>
        <w:numPr>
          <w:ilvl w:val="0"/>
          <w:numId w:val="26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Описание на пробата/изпитването; </w:t>
      </w:r>
    </w:p>
    <w:p w:rsidR="00CC7ECC" w:rsidRPr="00D56325" w:rsidRDefault="00CC7ECC" w:rsidP="00CC7ECC">
      <w:pPr>
        <w:widowControl/>
        <w:numPr>
          <w:ilvl w:val="0"/>
          <w:numId w:val="26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Метод на провеждане на пробата/изпитването;</w:t>
      </w:r>
    </w:p>
    <w:p w:rsidR="00CC7ECC" w:rsidRPr="00D56325" w:rsidRDefault="00CC7ECC" w:rsidP="00CC7ECC">
      <w:pPr>
        <w:widowControl/>
        <w:numPr>
          <w:ilvl w:val="0"/>
          <w:numId w:val="26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забележки по отношение на отклонения от очакваните резултати;</w:t>
      </w:r>
    </w:p>
    <w:p w:rsidR="00CC7ECC" w:rsidRPr="00D56325" w:rsidRDefault="00CC7ECC" w:rsidP="00CC7ECC">
      <w:pPr>
        <w:widowControl/>
        <w:numPr>
          <w:ilvl w:val="0"/>
          <w:numId w:val="26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Прието/ неприето, съобразно съответствието на постигнатите резултати и нормативно установените изисквания/ изисквания на инвестиционния проект; </w:t>
      </w:r>
    </w:p>
    <w:p w:rsidR="00CC7ECC" w:rsidRPr="00D56325" w:rsidRDefault="00CC7ECC" w:rsidP="00CC7ECC">
      <w:pPr>
        <w:widowControl/>
        <w:numPr>
          <w:ilvl w:val="0"/>
          <w:numId w:val="26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Забележки.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>Документите, удостоверяващи извършените проби и изпитвания се подписват от Проектанта, представител на Възложителя и лицето осъществяващо строителния надзор.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>Извършването на всички проби и изпитвания се съгласува от Проектанта, Възложителя и лицето осъществяващо строителния надзор.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Всички проби и изпитвания трябва да бъдат обявени в съответствие приложимите за това условия и изисквания, вкл. при всяко повторение на пробите и изпитванията.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Пробите и изпитванията винаги трябва да се извършват в присъствието Проектанта, представител на Възложителя и лицето осъществяващо строителния надзор.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При завършване на отделни съоръжения и инсталации ще се изпълняват отделни проби и изпитвания, съгласно приложимите норми, приложимите Правила за извършване и приемане на строителни и монтажни работи, както и други документи, имащи отношение към доказване на качеството и годността на работите и инсталациите.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>Изпълнителят е задължен да отстрани всички констатирани при пробите и изпитвания дефекти, недостатъци и забележки, преди да бъде съставен Констативен акт за установяване годността за приемане на строежа (Акт образец 15 от Наредба 3 за съставяне на актове и протоколи по време на строителството).</w:t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9" w:name="_Toc505531808"/>
      <w:r w:rsidRPr="00D56325">
        <w:rPr>
          <w:b/>
          <w:sz w:val="24"/>
          <w:szCs w:val="24"/>
          <w:lang w:val="bg-BG"/>
        </w:rPr>
        <w:t>Гаранционни срокове. Отстраняване на дефекти в рамките на гаранционните срокове</w:t>
      </w:r>
      <w:bookmarkEnd w:id="9"/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bookmarkStart w:id="10" w:name="_Hlk505080106"/>
      <w:r w:rsidRPr="00D56325">
        <w:rPr>
          <w:rFonts w:eastAsia="Calibri"/>
          <w:bCs/>
          <w:sz w:val="24"/>
          <w:szCs w:val="24"/>
          <w:lang w:val="bg-BG"/>
        </w:rPr>
        <w:t>Гаранционните срокове за изпълнените строителни и монтажни работи са с продължителност, равняваща се на минимално определените с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за съответния вид СМР</w:t>
      </w:r>
      <w:r w:rsidRPr="00D56325">
        <w:rPr>
          <w:rFonts w:eastAsia="Calibri"/>
          <w:b/>
          <w:bCs/>
          <w:sz w:val="24"/>
          <w:szCs w:val="24"/>
          <w:lang w:val="bg-BG"/>
        </w:rPr>
        <w:t>, увеличен</w:t>
      </w:r>
      <w:r w:rsidR="00200934">
        <w:rPr>
          <w:rFonts w:eastAsia="Calibri"/>
          <w:b/>
          <w:bCs/>
          <w:sz w:val="24"/>
          <w:szCs w:val="24"/>
          <w:lang w:val="bg-BG"/>
        </w:rPr>
        <w:t>и</w:t>
      </w:r>
      <w:bookmarkStart w:id="11" w:name="_GoBack"/>
      <w:bookmarkEnd w:id="11"/>
      <w:r w:rsidRPr="00D56325">
        <w:rPr>
          <w:rFonts w:eastAsia="Calibri"/>
          <w:b/>
          <w:bCs/>
          <w:sz w:val="24"/>
          <w:szCs w:val="24"/>
          <w:lang w:val="bg-BG"/>
        </w:rPr>
        <w:t xml:space="preserve"> с 1 (една) година</w:t>
      </w:r>
      <w:bookmarkEnd w:id="10"/>
      <w:r w:rsidRPr="00D56325">
        <w:rPr>
          <w:rFonts w:eastAsia="Calibri"/>
          <w:b/>
          <w:bCs/>
          <w:sz w:val="24"/>
          <w:szCs w:val="24"/>
          <w:lang w:val="bg-BG"/>
        </w:rPr>
        <w:t>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lastRenderedPageBreak/>
        <w:t>Гаранционните срокове започват да текат от датата на въвеждането на обекта в експлоатация.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Всички дефекти, възникнали преди края на гаранционния срок се </w:t>
      </w:r>
      <w:bookmarkStart w:id="12" w:name="_Hlk505080251"/>
      <w:r w:rsidRPr="00D56325">
        <w:rPr>
          <w:rFonts w:eastAsia="Calibri"/>
          <w:bCs/>
          <w:sz w:val="24"/>
          <w:szCs w:val="24"/>
          <w:lang w:val="bg-BG"/>
        </w:rPr>
        <w:t>констатират с протокол, съставен и подписан от представители на Възложителя</w:t>
      </w:r>
      <w:bookmarkEnd w:id="12"/>
      <w:r w:rsidRPr="00D56325">
        <w:rPr>
          <w:rFonts w:eastAsia="Calibri"/>
          <w:bCs/>
          <w:sz w:val="24"/>
          <w:szCs w:val="24"/>
          <w:lang w:val="bg-BG"/>
        </w:rPr>
        <w:t xml:space="preserve">. Този протокол се изпраща на изпълнителя. </w:t>
      </w:r>
      <w:bookmarkStart w:id="13" w:name="_Hlk505080317"/>
      <w:r w:rsidRPr="00D56325">
        <w:rPr>
          <w:rFonts w:eastAsia="Calibri"/>
          <w:bCs/>
          <w:sz w:val="24"/>
          <w:szCs w:val="24"/>
          <w:lang w:val="bg-BG"/>
        </w:rPr>
        <w:t>Гаранционният срок не тече и се удължава с времето, през което обектът е имал проявен дефект, до неговото отстраняване, включително в случаите, в които Възложителят сам е отстранил дефектите</w:t>
      </w:r>
      <w:bookmarkEnd w:id="13"/>
      <w:r w:rsidRPr="00D56325">
        <w:rPr>
          <w:rFonts w:eastAsia="Calibri"/>
          <w:bCs/>
          <w:sz w:val="24"/>
          <w:szCs w:val="24"/>
          <w:lang w:val="bg-BG"/>
        </w:rPr>
        <w:t>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>Изпълнителят се задължава да отстранява за своя сметка и без допълнително заплащане всички констатирани дефекти и недостатъци, които се проявят през времето на гаранционните срокове.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>Изпълнителят трябва да осигури за своя сметка за цялото инсталирано оборудване, включващо всеки един компонент, устройство, машина и др. подобни, гаранция с минимална продължителност определена от производителя на инсталираното оборудване, считано от датата на въвеждането на обекта в експлоатация. Гаранцията покрива всички неизправности, които се дължат на производствени дефекти или на такива неизправности, които не са причинени от неправилна експлоатация, природни бедствия и аварии или от умишлени действия. Гаранцията на оборудването трябва да включва отстраняване на възникнали неизправности в разумен срок, не по-дълъг от 30 календарни дни.</w:t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14" w:name="_Toc505531809"/>
      <w:r w:rsidRPr="00D56325">
        <w:rPr>
          <w:b/>
          <w:sz w:val="24"/>
          <w:szCs w:val="24"/>
          <w:lang w:val="bg-BG"/>
        </w:rPr>
        <w:t>Безопасност и опазване на околната среда</w:t>
      </w:r>
      <w:bookmarkEnd w:id="14"/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По време на изпълнение на СМР изпълнителят трябва да спазва изискванията на Наредба № 2 от 2004 г. за минимални изисквания за здравословни и безопасни условия на труд при извършване на строителни и монтажни работи, както и по всички други приложими нормативни изисквания и стандарти, относими към безопасността и хигиената на труда, техническата и пожарната безопасност при строителство и експлоатация на подобни обекти, а също и да се грижи за сигурността на всички лица, които се намират на строителната площадка.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Изпълнителят е длъжен да спазва одобрения от Възложителя и компетентните органи План за безопасност и здраве за строежа.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Изпълнителят е длъжен да осигури Координатор по безопасност и здраве за етапа на строителството в съответствие с изискванията на Наредба № 2 от 2004 г. за минимални изисквания за здравословни и безопасни условия на труд при извършване на строителни и монтажни работи.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Изпълнителят ще бъде отговорен за спазване на всички изисквания по опазване на околната среда от неблагоприятни въздействия по време на изпълнение на СМР.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Изпълнителят следва да идентифицира възможните неблагоприятни въздействия върху околната среда, съществуващите съоръжения и населението и да предвиди мерки за ограничаването им до нива, които са допустими според нормативните документи, или по–ниски, вкл. по отношение: </w:t>
      </w:r>
    </w:p>
    <w:p w:rsidR="00CC7ECC" w:rsidRPr="00D56325" w:rsidRDefault="00CC7ECC" w:rsidP="00CC7ECC">
      <w:pPr>
        <w:widowControl/>
        <w:numPr>
          <w:ilvl w:val="0"/>
          <w:numId w:val="27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Недопускане на замърсяване с прах извън оградените предели на строителната площадка, като за тази цел изпълнителят трябва да разполага на обекта със средства за покриване на източници на прах или кал в случай на неблагоприятни условия; </w:t>
      </w:r>
    </w:p>
    <w:p w:rsidR="00CC7ECC" w:rsidRPr="00D56325" w:rsidRDefault="00CC7ECC" w:rsidP="00CC7ECC">
      <w:pPr>
        <w:widowControl/>
        <w:numPr>
          <w:ilvl w:val="0"/>
          <w:numId w:val="27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lastRenderedPageBreak/>
        <w:t>Недопускане на замърсяване на пътищата и улиците от работещите на обекта транспортни средства и строителна механизация, като за целта се предвидят средства за почистване на транспортните средства и механизация преди напускането на обекта, от характерните за обекта замърсявания. Изпълнителят също така ще бъде отговорен транспортните средства на неговите доставчици да пристигат на обекта в добро състояние и без да предизвикват замърсяване на улици и пътища;</w:t>
      </w:r>
    </w:p>
    <w:p w:rsidR="00CC7ECC" w:rsidRPr="00D56325" w:rsidRDefault="00CC7ECC" w:rsidP="00CC7ECC">
      <w:pPr>
        <w:widowControl/>
        <w:numPr>
          <w:ilvl w:val="0"/>
          <w:numId w:val="27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Ограничаване на шума от изпълняваните работи чрез подходящо ограждане, използване на подходящи технологии и механизация и подходящо планиране на шумните дейности за определени часове на деня;</w:t>
      </w:r>
    </w:p>
    <w:p w:rsidR="00CC7ECC" w:rsidRPr="00D56325" w:rsidRDefault="00CC7ECC" w:rsidP="00CC7ECC">
      <w:pPr>
        <w:widowControl/>
        <w:numPr>
          <w:ilvl w:val="0"/>
          <w:numId w:val="27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Ограничаване на въздействието от източници на електромагнитно излъчване, като за целта Изпълнителят ще проверява изправността и съответствието на нормите на неговите машини и инструменти;</w:t>
      </w:r>
    </w:p>
    <w:p w:rsidR="00CC7ECC" w:rsidRPr="00D56325" w:rsidRDefault="00CC7ECC" w:rsidP="00CC7ECC">
      <w:pPr>
        <w:widowControl/>
        <w:numPr>
          <w:ilvl w:val="0"/>
          <w:numId w:val="27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Управление на строителните отпадъци според предписанията на нормативните документи и изискванията на проекта, вкл. подходящо събиране и текущо извозване от строителната площадка.</w:t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15" w:name="_Toc505531810"/>
      <w:r w:rsidRPr="00D56325">
        <w:rPr>
          <w:b/>
          <w:sz w:val="24"/>
          <w:szCs w:val="24"/>
          <w:lang w:val="bg-BG"/>
        </w:rPr>
        <w:t>Системи за проверка и контрол на работите в процеса на тяхното изпълнение</w:t>
      </w:r>
      <w:bookmarkEnd w:id="15"/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Възложителят и/или негов представител, може по всяко време да инспектират работите, да контролират технологията на изпълнението и да издават инструкции за отстраняване на дефекти, съобразно изискванията на специфицираната технология и начин на изпълнение.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В случай на констатирани сериозни дефекти, отклонения и ниско качествено изпълнение, работите се спират и Възложителят уведомява изпълнителя за установените нарушения.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>Всички дефектни материали и оборудване се отстраняват от строежа, а дефектните работи се разрушават за сметка на изпълнителя. В случай на оспорване се прилагат съответните стандарти и правилници и се извършват съответните изпитания.</w:t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16" w:name="_Toc505531811"/>
      <w:r w:rsidRPr="00D56325">
        <w:rPr>
          <w:b/>
          <w:sz w:val="24"/>
          <w:szCs w:val="24"/>
          <w:lang w:val="bg-BG"/>
        </w:rPr>
        <w:t>Контрол по време на строителния процес</w:t>
      </w:r>
      <w:bookmarkEnd w:id="16"/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Контролът се осъществява от технически експерти на Възложителя в качеството им на представители на Възложителя - осъществяващи проверки на място.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По време на целия строителен процес от откриване на строителната площадка до предаване на обекта за въвеждане в експлоатация ще се осъществява постоянен контрол върху изпълнението на СМР относно: </w:t>
      </w:r>
    </w:p>
    <w:p w:rsidR="00CC7ECC" w:rsidRPr="00D56325" w:rsidRDefault="00CC7ECC" w:rsidP="00CC7ECC">
      <w:pPr>
        <w:widowControl/>
        <w:numPr>
          <w:ilvl w:val="0"/>
          <w:numId w:val="28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съответствие на изпълняваните на обекта работи по вид и количество с одобрените строителни книжа, КСС и план-график; </w:t>
      </w:r>
    </w:p>
    <w:p w:rsidR="00CC7ECC" w:rsidRPr="00D56325" w:rsidRDefault="00CC7ECC" w:rsidP="00CC7ECC">
      <w:pPr>
        <w:widowControl/>
        <w:numPr>
          <w:ilvl w:val="0"/>
          <w:numId w:val="28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съответствие на влаганите на обекта строителни продукти с предвидените в проектосметната документация към договора - технически спецификации, КСС, оферта на изпълнителя и др. 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Контролът по отношение на разходите, извършени от външните изпълнители има за цел да гарантира, че финансираните продукти, работи и услуги са доставени, както и че разходите са действително извършени и са в съответствие с националните правила и включва: </w:t>
      </w:r>
    </w:p>
    <w:p w:rsidR="00CC7ECC" w:rsidRPr="00D56325" w:rsidRDefault="00CC7ECC" w:rsidP="00CC7ECC">
      <w:pPr>
        <w:widowControl/>
        <w:numPr>
          <w:ilvl w:val="2"/>
          <w:numId w:val="19"/>
        </w:numPr>
        <w:autoSpaceDE/>
        <w:autoSpaceDN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>Извършване на цялостни документални проверки:</w:t>
      </w:r>
      <w:r w:rsidRPr="00D56325">
        <w:rPr>
          <w:rFonts w:eastAsia="Calibri"/>
          <w:sz w:val="24"/>
          <w:szCs w:val="24"/>
          <w:lang w:val="bg-BG"/>
        </w:rPr>
        <w:t xml:space="preserve"> </w:t>
      </w:r>
    </w:p>
    <w:p w:rsidR="00CC7ECC" w:rsidRPr="00D56325" w:rsidRDefault="00CC7ECC" w:rsidP="00CC7ECC">
      <w:pPr>
        <w:widowControl/>
        <w:numPr>
          <w:ilvl w:val="0"/>
          <w:numId w:val="29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lastRenderedPageBreak/>
        <w:t xml:space="preserve">проверка на оригинални разходооправдателни документи за доказване на реалното изпълнение на дейността, вкл. реквизити, съгласно действащото законодателство; </w:t>
      </w:r>
    </w:p>
    <w:p w:rsidR="00CC7ECC" w:rsidRPr="00D56325" w:rsidRDefault="00CC7ECC" w:rsidP="00CC7ECC">
      <w:pPr>
        <w:widowControl/>
        <w:numPr>
          <w:ilvl w:val="0"/>
          <w:numId w:val="29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проверка на съпътстващи документи с доказателствен характер;</w:t>
      </w:r>
    </w:p>
    <w:p w:rsidR="00CC7ECC" w:rsidRPr="00D56325" w:rsidRDefault="00CC7ECC" w:rsidP="00CC7ECC">
      <w:pPr>
        <w:widowControl/>
        <w:numPr>
          <w:ilvl w:val="0"/>
          <w:numId w:val="29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проверка за аритметични грешки. </w:t>
      </w:r>
    </w:p>
    <w:p w:rsidR="00CC7ECC" w:rsidRPr="00D56325" w:rsidRDefault="00CC7ECC" w:rsidP="00CC7ECC">
      <w:pPr>
        <w:widowControl/>
        <w:numPr>
          <w:ilvl w:val="2"/>
          <w:numId w:val="19"/>
        </w:numPr>
        <w:autoSpaceDE/>
        <w:autoSpaceDN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Извършване на проверки на място, които ще включват: </w:t>
      </w:r>
    </w:p>
    <w:p w:rsidR="00CC7ECC" w:rsidRPr="00D56325" w:rsidRDefault="00CC7ECC" w:rsidP="00CC7ECC">
      <w:pPr>
        <w:widowControl/>
        <w:numPr>
          <w:ilvl w:val="0"/>
          <w:numId w:val="30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проверка на съответствието на реално изпълнени СМР с инвестиционния проект и всички изменения в него, одобрени от общината; </w:t>
      </w:r>
    </w:p>
    <w:p w:rsidR="00CC7ECC" w:rsidRPr="00D56325" w:rsidRDefault="00CC7ECC" w:rsidP="00CC7ECC">
      <w:pPr>
        <w:widowControl/>
        <w:numPr>
          <w:ilvl w:val="0"/>
          <w:numId w:val="30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измерване на място на реално изпълнени СМР от Протокола за приемане на извършени СМР за сравняване с актуваните от изпълнителите и одобрени от инвеститорския контрол количества и тези по КСС; </w:t>
      </w:r>
    </w:p>
    <w:p w:rsidR="00CC7ECC" w:rsidRPr="00D56325" w:rsidRDefault="00CC7ECC" w:rsidP="00CC7ECC">
      <w:pPr>
        <w:widowControl/>
        <w:numPr>
          <w:ilvl w:val="0"/>
          <w:numId w:val="30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проверка за технологията на изпълнение и качеството на вложените материали и продукти и съответствието им с изискванията на техническата документация.</w:t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17" w:name="_Toc505531812"/>
      <w:r w:rsidRPr="00D56325">
        <w:rPr>
          <w:b/>
          <w:sz w:val="24"/>
          <w:szCs w:val="24"/>
          <w:lang w:val="bg-BG"/>
        </w:rPr>
        <w:t>Измерване на извършените работи</w:t>
      </w:r>
      <w:bookmarkEnd w:id="17"/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/>
          <w:bCs/>
          <w:sz w:val="24"/>
          <w:szCs w:val="24"/>
          <w:lang w:val="bg-BG"/>
        </w:rPr>
      </w:pPr>
      <w:r w:rsidRPr="00D56325">
        <w:rPr>
          <w:rFonts w:eastAsia="Calibri"/>
          <w:b/>
          <w:bCs/>
          <w:sz w:val="24"/>
          <w:szCs w:val="24"/>
          <w:lang w:val="bg-BG"/>
        </w:rPr>
        <w:t xml:space="preserve">Мерни единици </w:t>
      </w:r>
    </w:p>
    <w:p w:rsidR="00CC7ECC" w:rsidRPr="00D56325" w:rsidRDefault="00CC7ECC" w:rsidP="00CC7ECC">
      <w:pPr>
        <w:widowControl/>
        <w:numPr>
          <w:ilvl w:val="0"/>
          <w:numId w:val="3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Работите се измерват в единици в съответствие с посоченото в позициите на Количествено-стойностната сметка (линейни метри, квадратни метри, кубични метри, бройки и др.).</w:t>
      </w:r>
    </w:p>
    <w:p w:rsidR="00CC7ECC" w:rsidRPr="00D56325" w:rsidRDefault="00CC7ECC" w:rsidP="00CC7ECC">
      <w:pPr>
        <w:widowControl/>
        <w:numPr>
          <w:ilvl w:val="0"/>
          <w:numId w:val="3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Позиции, уточнени като комплект ще бъдат измерени в единична мярка включваща всички специфични компоненти и аксесоари. </w:t>
      </w:r>
    </w:p>
    <w:p w:rsidR="00CC7ECC" w:rsidRPr="00D56325" w:rsidRDefault="00CC7ECC" w:rsidP="00CC7ECC">
      <w:pPr>
        <w:widowControl/>
        <w:numPr>
          <w:ilvl w:val="0"/>
          <w:numId w:val="3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Работите или части от работа предмет на измерване и плащане, съгласно текста на позициите в Количествено-стойностната сметка, трябва да бъдат напълно завършени с всички слоеве, компоненти, аксесоари и др. </w:t>
      </w:r>
    </w:p>
    <w:p w:rsidR="00CC7ECC" w:rsidRPr="00D56325" w:rsidRDefault="00CC7ECC" w:rsidP="00CC7ECC">
      <w:pPr>
        <w:widowControl/>
        <w:numPr>
          <w:ilvl w:val="0"/>
          <w:numId w:val="31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Смята се, че изпълнителят е включил в единичните си цени всички помощни работи, материали и операции необходими за изпълнение и завършване на работите.</w:t>
      </w:r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/>
          <w:bCs/>
          <w:sz w:val="24"/>
          <w:szCs w:val="24"/>
          <w:lang w:val="bg-BG"/>
        </w:rPr>
      </w:pPr>
      <w:r w:rsidRPr="00D56325">
        <w:rPr>
          <w:rFonts w:eastAsia="Calibri"/>
          <w:b/>
          <w:bCs/>
          <w:sz w:val="24"/>
          <w:szCs w:val="24"/>
          <w:lang w:val="bg-BG"/>
        </w:rPr>
        <w:t>Измерване на извършените работи</w:t>
      </w:r>
    </w:p>
    <w:p w:rsidR="00CC7ECC" w:rsidRPr="00D56325" w:rsidRDefault="00CC7ECC" w:rsidP="00CC7ECC">
      <w:pPr>
        <w:widowControl/>
        <w:numPr>
          <w:ilvl w:val="0"/>
          <w:numId w:val="3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Количествата на извършените работи при изпълнението на строителството по този договор ще бъдат измерените действително извършени в процеса на изпълнение на договора количества. </w:t>
      </w:r>
    </w:p>
    <w:p w:rsidR="00CC7ECC" w:rsidRPr="00D56325" w:rsidRDefault="00CC7ECC" w:rsidP="00CC7ECC">
      <w:pPr>
        <w:widowControl/>
        <w:numPr>
          <w:ilvl w:val="0"/>
          <w:numId w:val="3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Представители на изпълнителя и Възложителя ще определят чрез измерване на обекта действителните количества на извършените работи и стойността на тези количества работи ще бъде изплатена на изпълнителя в съответствие с условията на договора. </w:t>
      </w:r>
    </w:p>
    <w:p w:rsidR="00CC7ECC" w:rsidRPr="00D56325" w:rsidRDefault="00CC7ECC" w:rsidP="00CC7ECC">
      <w:pPr>
        <w:widowControl/>
        <w:numPr>
          <w:ilvl w:val="0"/>
          <w:numId w:val="3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Измерването на изпълнените работи ще става в присъствието на представител на изпълнителя. За датата и часа на измерването Възложителят ще уведомява предварително изпълнителя. В случай че изпълнителят не осигури присъствието на свой представител при измерването ще се приеме, че той е съгласен с направените измервания и ще бъдат изплатени измерените и одобрени от Възложителя количества работи. </w:t>
      </w:r>
    </w:p>
    <w:p w:rsidR="00CC7ECC" w:rsidRPr="00D56325" w:rsidRDefault="00CC7ECC" w:rsidP="00CC7ECC">
      <w:pPr>
        <w:widowControl/>
        <w:numPr>
          <w:ilvl w:val="0"/>
          <w:numId w:val="3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Ако при изпълнението на договора се налага изпълнението на количества от отделните работи, които надвишават количествата, заложени предварително в количествено-стойностната сметка, необходими за нормалното продължаване на работите по договора и не са по вина на изпълнителя, те ще се извършат след предварително одобрение от Възложителя.</w:t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18" w:name="_Toc505531813"/>
      <w:r w:rsidRPr="00D56325">
        <w:rPr>
          <w:b/>
          <w:sz w:val="24"/>
          <w:szCs w:val="24"/>
          <w:lang w:val="bg-BG"/>
        </w:rPr>
        <w:lastRenderedPageBreak/>
        <w:t>Документи при приключване на изпълнението</w:t>
      </w:r>
      <w:bookmarkEnd w:id="18"/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ind w:left="0" w:firstLine="567"/>
        <w:jc w:val="both"/>
        <w:rPr>
          <w:rFonts w:eastAsia="Calibri"/>
          <w:bCs/>
          <w:sz w:val="24"/>
          <w:szCs w:val="24"/>
          <w:lang w:val="bg-BG"/>
        </w:rPr>
      </w:pPr>
      <w:r w:rsidRPr="00D56325">
        <w:rPr>
          <w:rFonts w:eastAsia="Calibri"/>
          <w:bCs/>
          <w:sz w:val="24"/>
          <w:szCs w:val="24"/>
          <w:lang w:val="bg-BG"/>
        </w:rPr>
        <w:t xml:space="preserve">За приемане на обекта от Възложителя, при съставянето на Констативния акт за установяване годността за приемане на строежа (Акт образец 15 от Наредба 3 за съставяне на актове и протоколи по време на строителството), изпълнителят представя: </w:t>
      </w:r>
    </w:p>
    <w:p w:rsidR="00CC7ECC" w:rsidRPr="00D56325" w:rsidRDefault="00CC7ECC" w:rsidP="00CC7ECC">
      <w:pPr>
        <w:widowControl/>
        <w:numPr>
          <w:ilvl w:val="0"/>
          <w:numId w:val="3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Копие на цялата документация – документи схеми, таблици, протоколи, снимки и други, която Изпълнителя е създал в хода на изпълнение на настоящата поръчка, придружена от подробен опис. </w:t>
      </w:r>
    </w:p>
    <w:p w:rsidR="00CC7ECC" w:rsidRPr="00D56325" w:rsidRDefault="00CC7ECC" w:rsidP="00CC7ECC">
      <w:pPr>
        <w:widowControl/>
        <w:numPr>
          <w:ilvl w:val="0"/>
          <w:numId w:val="3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 xml:space="preserve">Екзекутивна документация съгласно чл. 175 от ЗУТ. </w:t>
      </w:r>
    </w:p>
    <w:p w:rsidR="00CC7ECC" w:rsidRPr="00D56325" w:rsidRDefault="00CC7ECC" w:rsidP="00CC7ECC">
      <w:pPr>
        <w:widowControl/>
        <w:numPr>
          <w:ilvl w:val="0"/>
          <w:numId w:val="32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Други документи по преценка на изпълнителя.</w:t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19" w:name="_Toc505531814"/>
      <w:r w:rsidRPr="00D56325">
        <w:rPr>
          <w:b/>
          <w:sz w:val="24"/>
          <w:szCs w:val="24"/>
          <w:lang w:val="bg-BG"/>
        </w:rPr>
        <w:t>Място и срок за изпълнение на поръчката</w:t>
      </w:r>
      <w:bookmarkEnd w:id="5"/>
      <w:bookmarkEnd w:id="19"/>
      <w:r w:rsidRPr="00D56325">
        <w:rPr>
          <w:b/>
          <w:sz w:val="24"/>
          <w:szCs w:val="24"/>
          <w:lang w:val="bg-BG"/>
        </w:rPr>
        <w:t xml:space="preserve"> </w:t>
      </w:r>
    </w:p>
    <w:p w:rsidR="00CC7ECC" w:rsidRPr="00D56325" w:rsidRDefault="00CC7ECC" w:rsidP="00CC7ECC">
      <w:pPr>
        <w:widowControl/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Съществената част от обществената поръчка ще се изпълнява на територията на Република България, гр. Шабла и офис помещенията на Възложителя и избрания изпълнител.</w:t>
      </w:r>
    </w:p>
    <w:p w:rsidR="00CC7ECC" w:rsidRPr="00D56325" w:rsidRDefault="00CC7ECC" w:rsidP="00CC7ECC">
      <w:pPr>
        <w:widowControl/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Срокът за изпълнение на договора за поръчката е 6 (шест) месеца, считано от датата на двустранното му подписване.</w:t>
      </w:r>
    </w:p>
    <w:p w:rsidR="00CC7ECC" w:rsidRPr="00D56325" w:rsidRDefault="00CC7ECC" w:rsidP="00CC7ECC">
      <w:pPr>
        <w:keepNext/>
        <w:keepLines/>
        <w:widowControl/>
        <w:numPr>
          <w:ilvl w:val="0"/>
          <w:numId w:val="19"/>
        </w:numPr>
        <w:autoSpaceDE/>
        <w:autoSpaceDN/>
        <w:ind w:left="0" w:firstLine="0"/>
        <w:jc w:val="both"/>
        <w:outlineLvl w:val="1"/>
        <w:rPr>
          <w:b/>
          <w:sz w:val="24"/>
          <w:szCs w:val="24"/>
          <w:lang w:val="bg-BG"/>
        </w:rPr>
      </w:pPr>
      <w:bookmarkStart w:id="20" w:name="_Toc505531815"/>
      <w:r w:rsidRPr="00D56325">
        <w:rPr>
          <w:b/>
          <w:sz w:val="24"/>
          <w:szCs w:val="24"/>
          <w:lang w:val="bg-BG"/>
        </w:rPr>
        <w:t>Приложения</w:t>
      </w:r>
      <w:bookmarkEnd w:id="20"/>
    </w:p>
    <w:p w:rsidR="00CC7ECC" w:rsidRPr="00D56325" w:rsidRDefault="00CC7ECC" w:rsidP="00CC7ECC">
      <w:pPr>
        <w:widowControl/>
        <w:numPr>
          <w:ilvl w:val="1"/>
          <w:numId w:val="19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Неразделна част от настоящите спецификации са следните приложения:</w:t>
      </w:r>
    </w:p>
    <w:p w:rsidR="00CC7ECC" w:rsidRPr="00D56325" w:rsidRDefault="00CC7ECC" w:rsidP="00CC7ECC">
      <w:pPr>
        <w:widowControl/>
        <w:numPr>
          <w:ilvl w:val="0"/>
          <w:numId w:val="3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Техническа документация по част Архитектура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1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3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Техническа документация по част Конструкции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2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3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Техническа документация по част Геодезия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3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3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Техническа документация по част ВиК (</w:t>
      </w:r>
      <w:r w:rsidRPr="00D56325">
        <w:rPr>
          <w:rFonts w:eastAsia="Calibri"/>
          <w:b/>
          <w:sz w:val="24"/>
          <w:szCs w:val="24"/>
          <w:lang w:val="bg-BG"/>
        </w:rPr>
        <w:t xml:space="preserve">Приложение № 4 </w:t>
      </w:r>
      <w:r w:rsidRPr="00D56325">
        <w:rPr>
          <w:rFonts w:eastAsia="Calibri"/>
          <w:sz w:val="24"/>
          <w:szCs w:val="24"/>
          <w:lang w:val="bg-BG"/>
        </w:rPr>
        <w:t xml:space="preserve">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3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Техническа документация по част Електрическа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5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3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Техническа документация по част Паркоустройство и благоустройство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6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</w:t>
      </w:r>
    </w:p>
    <w:p w:rsidR="00CC7ECC" w:rsidRPr="00D56325" w:rsidRDefault="00CC7ECC" w:rsidP="00CC7ECC">
      <w:pPr>
        <w:widowControl/>
        <w:numPr>
          <w:ilvl w:val="0"/>
          <w:numId w:val="3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Техническа документация по част Пожарна безопасност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7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 </w:t>
      </w:r>
    </w:p>
    <w:p w:rsidR="00CC7ECC" w:rsidRPr="00D56325" w:rsidRDefault="00CC7ECC" w:rsidP="00CC7ECC">
      <w:pPr>
        <w:widowControl/>
        <w:numPr>
          <w:ilvl w:val="0"/>
          <w:numId w:val="3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Техническа документация по част Енергийна ефективност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8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 спецификации);</w:t>
      </w:r>
    </w:p>
    <w:p w:rsidR="00CC7ECC" w:rsidRPr="00D56325" w:rsidRDefault="00CC7ECC" w:rsidP="00CC7ECC">
      <w:pPr>
        <w:widowControl/>
        <w:numPr>
          <w:ilvl w:val="0"/>
          <w:numId w:val="33"/>
        </w:numPr>
        <w:autoSpaceDE/>
        <w:autoSpaceDN/>
        <w:jc w:val="both"/>
        <w:rPr>
          <w:rFonts w:eastAsia="Calibri"/>
          <w:sz w:val="24"/>
          <w:szCs w:val="24"/>
          <w:lang w:val="bg-BG"/>
        </w:rPr>
      </w:pPr>
      <w:r w:rsidRPr="00D56325">
        <w:rPr>
          <w:rFonts w:eastAsia="Calibri"/>
          <w:sz w:val="24"/>
          <w:szCs w:val="24"/>
          <w:lang w:val="bg-BG"/>
        </w:rPr>
        <w:t>Количествени сметки (</w:t>
      </w:r>
      <w:r w:rsidRPr="00D56325">
        <w:rPr>
          <w:rFonts w:eastAsia="Calibri"/>
          <w:b/>
          <w:sz w:val="24"/>
          <w:szCs w:val="24"/>
          <w:lang w:val="bg-BG"/>
        </w:rPr>
        <w:t>Приложение № 9</w:t>
      </w:r>
      <w:r w:rsidRPr="00D56325">
        <w:rPr>
          <w:rFonts w:eastAsia="Calibri"/>
          <w:sz w:val="24"/>
          <w:szCs w:val="24"/>
          <w:lang w:val="bg-BG"/>
        </w:rPr>
        <w:t xml:space="preserve"> към настоящите Техническите спецификации). </w:t>
      </w:r>
    </w:p>
    <w:p w:rsidR="009333A2" w:rsidRPr="00B45F36" w:rsidRDefault="009333A2" w:rsidP="00CC7ECC">
      <w:pPr>
        <w:keepNext/>
        <w:keepLines/>
        <w:widowControl/>
        <w:autoSpaceDE/>
        <w:autoSpaceDN/>
        <w:jc w:val="both"/>
        <w:outlineLvl w:val="1"/>
        <w:rPr>
          <w:rFonts w:ascii="Trebuchet MS" w:hAnsi="Trebuchet MS"/>
        </w:rPr>
      </w:pPr>
    </w:p>
    <w:sectPr w:rsidR="009333A2" w:rsidRPr="00B45F36" w:rsidSect="001660AA">
      <w:headerReference w:type="default" r:id="rId8"/>
      <w:footerReference w:type="default" r:id="rId9"/>
      <w:pgSz w:w="11906" w:h="16838"/>
      <w:pgMar w:top="56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FA9" w:rsidRDefault="00BB0FA9" w:rsidP="00CA414F">
      <w:r>
        <w:separator/>
      </w:r>
    </w:p>
  </w:endnote>
  <w:endnote w:type="continuationSeparator" w:id="0">
    <w:p w:rsidR="00BB0FA9" w:rsidRDefault="00BB0FA9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F3E" w:rsidRPr="00855F3E" w:rsidRDefault="00855F3E" w:rsidP="00855F3E">
    <w:pPr>
      <w:pStyle w:val="a7"/>
      <w:jc w:val="center"/>
      <w:rPr>
        <w:rFonts w:ascii="Trebuchet MS" w:eastAsia="Calibri" w:hAnsi="Trebuchet MS"/>
        <w:sz w:val="16"/>
        <w:szCs w:val="16"/>
      </w:rPr>
    </w:pPr>
    <w:r w:rsidRPr="00855F3E">
      <w:rPr>
        <w:rFonts w:ascii="Trebuchet MS" w:eastAsia="Calibri" w:hAnsi="Trebuchet MS"/>
        <w:sz w:val="16"/>
        <w:szCs w:val="16"/>
        <w:lang w:val="bg-BG"/>
      </w:rPr>
      <w:t xml:space="preserve">Проект № </w:t>
    </w:r>
    <w:r w:rsidRPr="00855F3E">
      <w:rPr>
        <w:rFonts w:ascii="Trebuchet MS" w:eastAsia="Calibri" w:hAnsi="Trebuchet MS"/>
        <w:sz w:val="16"/>
        <w:szCs w:val="16"/>
      </w:rPr>
      <w:t>BG14MFOP001-4.008-0001</w:t>
    </w:r>
    <w:r w:rsidRPr="00855F3E">
      <w:rPr>
        <w:rFonts w:ascii="Trebuchet MS" w:eastAsia="Calibri" w:hAnsi="Trebuchet MS"/>
        <w:sz w:val="16"/>
        <w:szCs w:val="16"/>
        <w:lang w:val="bg-BG"/>
      </w:rPr>
      <w:t xml:space="preserve"> „Изграждане на Морски клуб в рибарско селище Кария, община Шабла“, финансиран по Договор № МДР-ИП-01-6/11.03.2020 г</w:t>
    </w:r>
    <w:r w:rsidRPr="00855F3E">
      <w:rPr>
        <w:rFonts w:ascii="Trebuchet MS" w:eastAsia="Calibri" w:hAnsi="Trebuchet MS"/>
        <w:sz w:val="16"/>
        <w:szCs w:val="16"/>
      </w:rPr>
      <w:t>.</w:t>
    </w:r>
    <w:r w:rsidRPr="00855F3E">
      <w:rPr>
        <w:rFonts w:ascii="Trebuchet MS" w:eastAsia="Calibri" w:hAnsi="Trebuchet MS"/>
        <w:sz w:val="16"/>
        <w:szCs w:val="16"/>
        <w:lang w:val="bg-BG"/>
      </w:rPr>
      <w:t xml:space="preserve">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от Програма за морско дело и рибарство 2014-2020,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Pr="00855F3E" w:rsidRDefault="00D22BF4" w:rsidP="00855F3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FA9" w:rsidRDefault="00BB0FA9" w:rsidP="00CA414F">
      <w:r>
        <w:separator/>
      </w:r>
    </w:p>
  </w:footnote>
  <w:footnote w:type="continuationSeparator" w:id="0">
    <w:p w:rsidR="00BB0FA9" w:rsidRDefault="00BB0FA9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CA414F">
    <w:pPr>
      <w:pStyle w:val="a5"/>
      <w:ind w:left="-707" w:hanging="2"/>
    </w:pPr>
    <w:r>
      <w:rPr>
        <w:noProof/>
        <w:lang w:val="bg-BG" w:eastAsia="bg-BG"/>
      </w:rPr>
      <w:drawing>
        <wp:inline distT="0" distB="0" distL="0" distR="0" wp14:anchorId="481782EF" wp14:editId="4906F17A">
          <wp:extent cx="6677025" cy="1447800"/>
          <wp:effectExtent l="0" t="0" r="9525" b="0"/>
          <wp:docPr id="9" name="Картина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6E2B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3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5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6">
    <w:nsid w:val="09AA02F9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8">
    <w:nsid w:val="0DA64069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10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>
    <w:nsid w:val="18A76B2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3">
    <w:nsid w:val="234C609B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D0041A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B64C0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8453B0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8">
    <w:nsid w:val="46B67C0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20">
    <w:nsid w:val="4FEC4F25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2519A0"/>
    <w:multiLevelType w:val="multilevel"/>
    <w:tmpl w:val="9F283B2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23">
    <w:nsid w:val="595A2A17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25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26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>
    <w:nsid w:val="6A3F3643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29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30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31">
    <w:nsid w:val="7485610C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952726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0"/>
  </w:num>
  <w:num w:numId="3">
    <w:abstractNumId w:val="9"/>
  </w:num>
  <w:num w:numId="4">
    <w:abstractNumId w:val="28"/>
  </w:num>
  <w:num w:numId="5">
    <w:abstractNumId w:val="29"/>
  </w:num>
  <w:num w:numId="6">
    <w:abstractNumId w:val="5"/>
  </w:num>
  <w:num w:numId="7">
    <w:abstractNumId w:val="19"/>
  </w:num>
  <w:num w:numId="8">
    <w:abstractNumId w:val="4"/>
  </w:num>
  <w:num w:numId="9">
    <w:abstractNumId w:val="24"/>
  </w:num>
  <w:num w:numId="10">
    <w:abstractNumId w:val="17"/>
  </w:num>
  <w:num w:numId="11">
    <w:abstractNumId w:val="25"/>
  </w:num>
  <w:num w:numId="12">
    <w:abstractNumId w:val="22"/>
  </w:num>
  <w:num w:numId="13">
    <w:abstractNumId w:val="12"/>
  </w:num>
  <w:num w:numId="14">
    <w:abstractNumId w:val="7"/>
  </w:num>
  <w:num w:numId="15">
    <w:abstractNumId w:val="26"/>
  </w:num>
  <w:num w:numId="16">
    <w:abstractNumId w:val="3"/>
  </w:num>
  <w:num w:numId="17">
    <w:abstractNumId w:val="10"/>
  </w:num>
  <w:num w:numId="18">
    <w:abstractNumId w:val="0"/>
  </w:num>
  <w:num w:numId="19">
    <w:abstractNumId w:val="21"/>
  </w:num>
  <w:num w:numId="20">
    <w:abstractNumId w:val="11"/>
  </w:num>
  <w:num w:numId="21">
    <w:abstractNumId w:val="13"/>
  </w:num>
  <w:num w:numId="22">
    <w:abstractNumId w:val="20"/>
  </w:num>
  <w:num w:numId="23">
    <w:abstractNumId w:val="27"/>
  </w:num>
  <w:num w:numId="24">
    <w:abstractNumId w:val="18"/>
  </w:num>
  <w:num w:numId="25">
    <w:abstractNumId w:val="8"/>
  </w:num>
  <w:num w:numId="26">
    <w:abstractNumId w:val="32"/>
  </w:num>
  <w:num w:numId="27">
    <w:abstractNumId w:val="23"/>
  </w:num>
  <w:num w:numId="28">
    <w:abstractNumId w:val="31"/>
  </w:num>
  <w:num w:numId="29">
    <w:abstractNumId w:val="14"/>
  </w:num>
  <w:num w:numId="30">
    <w:abstractNumId w:val="6"/>
  </w:num>
  <w:num w:numId="31">
    <w:abstractNumId w:val="16"/>
  </w:num>
  <w:num w:numId="32">
    <w:abstractNumId w:val="15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1652D2"/>
    <w:rsid w:val="001660AA"/>
    <w:rsid w:val="00200934"/>
    <w:rsid w:val="00261371"/>
    <w:rsid w:val="002C3C9E"/>
    <w:rsid w:val="002F47B8"/>
    <w:rsid w:val="0030083B"/>
    <w:rsid w:val="00347C46"/>
    <w:rsid w:val="00381AA4"/>
    <w:rsid w:val="00393326"/>
    <w:rsid w:val="00523779"/>
    <w:rsid w:val="005E2F53"/>
    <w:rsid w:val="00626B7C"/>
    <w:rsid w:val="006D5DAB"/>
    <w:rsid w:val="006E429A"/>
    <w:rsid w:val="00714508"/>
    <w:rsid w:val="00797BA6"/>
    <w:rsid w:val="00855F3E"/>
    <w:rsid w:val="009333A2"/>
    <w:rsid w:val="009C76DE"/>
    <w:rsid w:val="00A5050C"/>
    <w:rsid w:val="00B36645"/>
    <w:rsid w:val="00B40017"/>
    <w:rsid w:val="00B45F36"/>
    <w:rsid w:val="00BB0FA9"/>
    <w:rsid w:val="00C90B22"/>
    <w:rsid w:val="00CA414F"/>
    <w:rsid w:val="00CC7ECC"/>
    <w:rsid w:val="00D22BF4"/>
    <w:rsid w:val="00D56325"/>
    <w:rsid w:val="00F45DD1"/>
    <w:rsid w:val="00F9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F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B45F3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F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B45F3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4930</Words>
  <Characters>28105</Characters>
  <Application>Microsoft Office Word</Application>
  <DocSecurity>0</DocSecurity>
  <Lines>234</Lines>
  <Paragraphs>65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11</cp:revision>
  <dcterms:created xsi:type="dcterms:W3CDTF">2020-02-01T13:16:00Z</dcterms:created>
  <dcterms:modified xsi:type="dcterms:W3CDTF">2020-03-20T08:20:00Z</dcterms:modified>
</cp:coreProperties>
</file>