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37" w:rsidRPr="004C7179" w:rsidRDefault="00343C37" w:rsidP="004C7179">
      <w:pPr>
        <w:autoSpaceDE w:val="0"/>
        <w:autoSpaceDN w:val="0"/>
        <w:adjustRightInd w:val="0"/>
        <w:spacing w:after="0" w:line="240" w:lineRule="auto"/>
        <w:jc w:val="both"/>
        <w:rPr>
          <w:rFonts w:ascii="Times New Roman" w:hAnsi="Times New Roman" w:cs="Times New Roman"/>
          <w:b/>
          <w:bCs/>
        </w:rPr>
      </w:pPr>
      <w:r w:rsidRPr="004C7179">
        <w:rPr>
          <w:rFonts w:ascii="Times New Roman" w:hAnsi="Times New Roman" w:cs="Times New Roman"/>
          <w:b/>
          <w:bCs/>
        </w:rPr>
        <w:t>V. МЕТОДИКА ЗА ОПРЕДЕЛЯНЕ НА КОМПЛЕКСНАТА ОЦЕНКА</w:t>
      </w:r>
    </w:p>
    <w:p w:rsidR="00343C37" w:rsidRPr="004C7179" w:rsidRDefault="00343C37" w:rsidP="004C7179">
      <w:pPr>
        <w:autoSpaceDE w:val="0"/>
        <w:autoSpaceDN w:val="0"/>
        <w:adjustRightInd w:val="0"/>
        <w:spacing w:after="0" w:line="240" w:lineRule="auto"/>
        <w:ind w:firstLine="566"/>
        <w:jc w:val="both"/>
        <w:rPr>
          <w:rFonts w:ascii="Times New Roman" w:hAnsi="Times New Roman" w:cs="Times New Roman"/>
          <w:sz w:val="20"/>
          <w:szCs w:val="20"/>
        </w:rPr>
      </w:pPr>
    </w:p>
    <w:p w:rsidR="00343C37" w:rsidRPr="004C7179" w:rsidRDefault="00343C37" w:rsidP="004C7179">
      <w:pPr>
        <w:keepNext/>
        <w:spacing w:after="0" w:line="240" w:lineRule="auto"/>
        <w:ind w:firstLine="567"/>
        <w:jc w:val="both"/>
        <w:outlineLvl w:val="1"/>
        <w:rPr>
          <w:rFonts w:ascii="Times New Roman" w:hAnsi="Times New Roman" w:cs="Times New Roman"/>
        </w:rPr>
      </w:pPr>
      <w:r w:rsidRPr="004C7179">
        <w:rPr>
          <w:rFonts w:ascii="Times New Roman" w:hAnsi="Times New Roman" w:cs="Times New Roman"/>
        </w:rPr>
        <w:t>С настоящата методика се определя реда, критерия за оценка, показателите и тяхната тежест при оценка на офертите на участниците.</w:t>
      </w:r>
    </w:p>
    <w:p w:rsidR="00343C37" w:rsidRPr="004C7179" w:rsidRDefault="00343C37" w:rsidP="004C7179">
      <w:pPr>
        <w:keepNext/>
        <w:spacing w:after="0" w:line="240" w:lineRule="auto"/>
        <w:jc w:val="both"/>
        <w:outlineLvl w:val="1"/>
        <w:rPr>
          <w:rFonts w:ascii="Times New Roman" w:hAnsi="Times New Roman" w:cs="Times New Roman"/>
        </w:rPr>
      </w:pPr>
    </w:p>
    <w:p w:rsidR="00343C37" w:rsidRPr="004C7179" w:rsidRDefault="00343C37" w:rsidP="00CF5809">
      <w:pPr>
        <w:keepNext/>
        <w:widowControl w:val="0"/>
        <w:numPr>
          <w:ilvl w:val="1"/>
          <w:numId w:val="1"/>
        </w:numPr>
        <w:tabs>
          <w:tab w:val="clear" w:pos="1440"/>
          <w:tab w:val="num" w:pos="0"/>
          <w:tab w:val="left" w:pos="993"/>
        </w:tabs>
        <w:autoSpaceDE w:val="0"/>
        <w:autoSpaceDN w:val="0"/>
        <w:adjustRightInd w:val="0"/>
        <w:spacing w:after="0" w:line="240" w:lineRule="auto"/>
        <w:ind w:left="0" w:firstLine="567"/>
        <w:jc w:val="both"/>
        <w:outlineLvl w:val="1"/>
        <w:rPr>
          <w:rFonts w:ascii="Times New Roman" w:hAnsi="Times New Roman" w:cs="Times New Roman"/>
          <w:b/>
          <w:bCs/>
        </w:rPr>
      </w:pPr>
      <w:r w:rsidRPr="004C7179">
        <w:rPr>
          <w:rFonts w:ascii="Times New Roman" w:hAnsi="Times New Roman" w:cs="Times New Roman"/>
          <w:b/>
          <w:bCs/>
        </w:rPr>
        <w:t>Критерий за оценка на офертите</w:t>
      </w:r>
    </w:p>
    <w:p w:rsidR="00343C37" w:rsidRPr="004C7179" w:rsidRDefault="00343C37" w:rsidP="004C7179">
      <w:pPr>
        <w:keepNext/>
        <w:spacing w:after="0" w:line="240" w:lineRule="auto"/>
        <w:ind w:left="1080"/>
        <w:jc w:val="both"/>
        <w:outlineLvl w:val="1"/>
        <w:rPr>
          <w:rFonts w:ascii="Times New Roman" w:hAnsi="Times New Roman" w:cs="Times New Roman"/>
          <w:b/>
          <w:bCs/>
        </w:rPr>
      </w:pPr>
    </w:p>
    <w:p w:rsidR="00343C37" w:rsidRPr="004C7179" w:rsidRDefault="00343C37" w:rsidP="004C7179">
      <w:pPr>
        <w:widowControl w:val="0"/>
        <w:tabs>
          <w:tab w:val="left" w:pos="1620"/>
        </w:tabs>
        <w:autoSpaceDE w:val="0"/>
        <w:autoSpaceDN w:val="0"/>
        <w:adjustRightInd w:val="0"/>
        <w:spacing w:after="0" w:line="240" w:lineRule="auto"/>
        <w:ind w:firstLine="567"/>
        <w:jc w:val="both"/>
        <w:rPr>
          <w:rFonts w:ascii="Times New Roman" w:hAnsi="Times New Roman" w:cs="Times New Roman"/>
        </w:rPr>
      </w:pPr>
      <w:r w:rsidRPr="004C7179">
        <w:rPr>
          <w:rFonts w:ascii="Times New Roman" w:hAnsi="Times New Roman" w:cs="Times New Roman"/>
        </w:rPr>
        <w:t xml:space="preserve">В процедурата за възлагане на обществена поръчка с предмет </w:t>
      </w:r>
      <w:r w:rsidRPr="004C7179">
        <w:rPr>
          <w:rFonts w:ascii="Times New Roman" w:hAnsi="Times New Roman" w:cs="Times New Roman"/>
          <w:b/>
          <w:bCs/>
        </w:rPr>
        <w:t>„Строително-монтажни работи за реконструкция на вътрешни водопроводни мрежи в изпълнение на проект: „Реконструкция на вътрешна водопроводна мрежа на с. Ваклино, с. Дуранкулак, с. Езерец и с. Крапец, Община Шабла”</w:t>
      </w:r>
      <w:r w:rsidRPr="004C7179">
        <w:rPr>
          <w:rFonts w:ascii="Times New Roman" w:hAnsi="Times New Roman" w:cs="Times New Roman"/>
        </w:rPr>
        <w:t xml:space="preserve">, критерий за оценка на офертите е “Икономически най-изгодна оферта”. </w:t>
      </w:r>
    </w:p>
    <w:p w:rsidR="00343C37" w:rsidRPr="004C7179" w:rsidRDefault="00343C37" w:rsidP="004C7179">
      <w:pPr>
        <w:widowControl w:val="0"/>
        <w:tabs>
          <w:tab w:val="left" w:pos="1620"/>
        </w:tabs>
        <w:autoSpaceDE w:val="0"/>
        <w:autoSpaceDN w:val="0"/>
        <w:adjustRightInd w:val="0"/>
        <w:spacing w:after="0" w:line="240" w:lineRule="auto"/>
        <w:ind w:firstLine="720"/>
        <w:jc w:val="both"/>
        <w:rPr>
          <w:rFonts w:ascii="Times New Roman" w:hAnsi="Times New Roman" w:cs="Times New Roman"/>
        </w:rPr>
      </w:pPr>
    </w:p>
    <w:p w:rsidR="00343C37" w:rsidRPr="004C7179" w:rsidRDefault="00343C37" w:rsidP="00E147DF">
      <w:pPr>
        <w:keepNext/>
        <w:widowControl w:val="0"/>
        <w:numPr>
          <w:ilvl w:val="1"/>
          <w:numId w:val="1"/>
        </w:numPr>
        <w:tabs>
          <w:tab w:val="clear" w:pos="1440"/>
          <w:tab w:val="num" w:pos="0"/>
          <w:tab w:val="left" w:pos="993"/>
        </w:tabs>
        <w:autoSpaceDE w:val="0"/>
        <w:autoSpaceDN w:val="0"/>
        <w:adjustRightInd w:val="0"/>
        <w:spacing w:after="0" w:line="240" w:lineRule="auto"/>
        <w:ind w:left="0" w:firstLine="567"/>
        <w:jc w:val="both"/>
        <w:outlineLvl w:val="1"/>
        <w:rPr>
          <w:rFonts w:ascii="Times New Roman" w:hAnsi="Times New Roman" w:cs="Times New Roman"/>
          <w:b/>
          <w:bCs/>
        </w:rPr>
      </w:pPr>
      <w:r w:rsidRPr="004C7179">
        <w:rPr>
          <w:rFonts w:ascii="Times New Roman" w:hAnsi="Times New Roman" w:cs="Times New Roman"/>
          <w:b/>
          <w:bCs/>
        </w:rPr>
        <w:t>Показатели и относителната им тежест за формиране на комплексната оценка</w:t>
      </w:r>
    </w:p>
    <w:p w:rsidR="00343C37" w:rsidRPr="004C7179" w:rsidRDefault="00343C37" w:rsidP="004C7179">
      <w:pPr>
        <w:widowControl w:val="0"/>
        <w:autoSpaceDE w:val="0"/>
        <w:autoSpaceDN w:val="0"/>
        <w:adjustRightInd w:val="0"/>
        <w:spacing w:after="0" w:line="240" w:lineRule="auto"/>
        <w:ind w:right="-2" w:firstLine="708"/>
        <w:jc w:val="both"/>
        <w:rPr>
          <w:rFonts w:ascii="Times New Roman" w:hAnsi="Times New Roman" w:cs="Times New Roman"/>
        </w:rPr>
      </w:pPr>
    </w:p>
    <w:p w:rsidR="00343C37" w:rsidRPr="004C7179" w:rsidRDefault="00343C37" w:rsidP="004C7179">
      <w:pPr>
        <w:widowControl w:val="0"/>
        <w:autoSpaceDE w:val="0"/>
        <w:autoSpaceDN w:val="0"/>
        <w:adjustRightInd w:val="0"/>
        <w:spacing w:after="0" w:line="240" w:lineRule="auto"/>
        <w:ind w:right="-2" w:firstLine="708"/>
        <w:jc w:val="both"/>
        <w:rPr>
          <w:rFonts w:ascii="Times New Roman" w:hAnsi="Times New Roman" w:cs="Times New Roman"/>
        </w:rPr>
      </w:pPr>
      <w:r w:rsidRPr="004C7179">
        <w:rPr>
          <w:rFonts w:ascii="Times New Roman" w:hAnsi="Times New Roman" w:cs="Times New Roman"/>
        </w:rPr>
        <w:t>Всяка оферта, отговаряща на изискванията на възложителя, се оценява по настоящата методика и получава КОМПЛЕКСНА ОЦЕНКА, с която участва в крайното класиране.</w:t>
      </w:r>
    </w:p>
    <w:p w:rsidR="00343C37" w:rsidRPr="004C7179" w:rsidRDefault="00343C37" w:rsidP="004C7179">
      <w:pPr>
        <w:widowControl w:val="0"/>
        <w:autoSpaceDE w:val="0"/>
        <w:autoSpaceDN w:val="0"/>
        <w:adjustRightInd w:val="0"/>
        <w:spacing w:after="0" w:line="240" w:lineRule="auto"/>
        <w:ind w:right="-2"/>
        <w:jc w:val="both"/>
        <w:rPr>
          <w:rFonts w:ascii="Times New Roman" w:hAnsi="Times New Roman" w:cs="Times New Roman"/>
        </w:rPr>
      </w:pP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lang w:val="ru-RU"/>
        </w:rPr>
      </w:pPr>
      <w:r w:rsidRPr="004C7179">
        <w:rPr>
          <w:rFonts w:ascii="Times New Roman" w:hAnsi="Times New Roman" w:cs="Times New Roman"/>
        </w:rPr>
        <w:t xml:space="preserve">Максималния брой точки, които участника може да получи е 100 точки. </w:t>
      </w: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rPr>
      </w:pPr>
      <w:r w:rsidRPr="004C7179">
        <w:rPr>
          <w:rFonts w:ascii="Times New Roman" w:hAnsi="Times New Roman" w:cs="Times New Roman"/>
        </w:rPr>
        <w:t>„Комплексната оценка” се определя на база следните показатели</w:t>
      </w:r>
      <w:r w:rsidRPr="004C7179">
        <w:rPr>
          <w:rFonts w:ascii="Times New Roman" w:hAnsi="Times New Roman" w:cs="Times New Roman"/>
          <w:lang w:val="ru-RU"/>
        </w:rPr>
        <w:t>:</w:t>
      </w: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376"/>
        <w:gridCol w:w="2490"/>
      </w:tblGrid>
      <w:tr w:rsidR="00343C37" w:rsidRPr="00630234">
        <w:trPr>
          <w:cantSplit/>
          <w:trHeight w:val="750"/>
          <w:jc w:val="center"/>
        </w:trPr>
        <w:tc>
          <w:tcPr>
            <w:tcW w:w="4962" w:type="dxa"/>
            <w:shd w:val="clear" w:color="auto" w:fill="E0E0E0"/>
            <w:vAlign w:val="center"/>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b/>
                <w:bCs/>
              </w:rPr>
            </w:pPr>
            <w:r w:rsidRPr="004C7179">
              <w:rPr>
                <w:rFonts w:ascii="Times New Roman" w:hAnsi="Times New Roman" w:cs="Times New Roman"/>
                <w:b/>
                <w:bCs/>
              </w:rPr>
              <w:t>Показател – П</w:t>
            </w:r>
          </w:p>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b/>
                <w:bCs/>
              </w:rPr>
            </w:pPr>
            <w:r w:rsidRPr="004C7179">
              <w:rPr>
                <w:rFonts w:ascii="Times New Roman" w:hAnsi="Times New Roman" w:cs="Times New Roman"/>
              </w:rPr>
              <w:t>(наименование)</w:t>
            </w:r>
          </w:p>
        </w:tc>
        <w:tc>
          <w:tcPr>
            <w:tcW w:w="2376" w:type="dxa"/>
            <w:shd w:val="clear" w:color="auto" w:fill="E0E0E0"/>
            <w:vAlign w:val="center"/>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b/>
                <w:bCs/>
              </w:rPr>
            </w:pPr>
            <w:r w:rsidRPr="004C7179">
              <w:rPr>
                <w:rFonts w:ascii="Times New Roman" w:hAnsi="Times New Roman" w:cs="Times New Roman"/>
                <w:b/>
                <w:bCs/>
              </w:rPr>
              <w:t>Максимално възможен бр. точки</w:t>
            </w:r>
          </w:p>
        </w:tc>
        <w:tc>
          <w:tcPr>
            <w:tcW w:w="2490" w:type="dxa"/>
            <w:shd w:val="clear" w:color="auto" w:fill="E0E0E0"/>
            <w:vAlign w:val="center"/>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b/>
                <w:bCs/>
              </w:rPr>
            </w:pPr>
            <w:r w:rsidRPr="004C7179">
              <w:rPr>
                <w:rFonts w:ascii="Times New Roman" w:hAnsi="Times New Roman" w:cs="Times New Roman"/>
                <w:b/>
                <w:bCs/>
              </w:rPr>
              <w:t>Относителна тежест в КО</w:t>
            </w:r>
          </w:p>
        </w:tc>
      </w:tr>
      <w:tr w:rsidR="00343C37" w:rsidRPr="00630234">
        <w:trPr>
          <w:jc w:val="center"/>
        </w:trPr>
        <w:tc>
          <w:tcPr>
            <w:tcW w:w="4962" w:type="dxa"/>
            <w:vAlign w:val="center"/>
          </w:tcPr>
          <w:p w:rsidR="00343C37" w:rsidRPr="004C7179" w:rsidRDefault="00343C37" w:rsidP="004C7179">
            <w:pPr>
              <w:widowControl w:val="0"/>
              <w:autoSpaceDE w:val="0"/>
              <w:autoSpaceDN w:val="0"/>
              <w:adjustRightInd w:val="0"/>
              <w:spacing w:after="0" w:line="240" w:lineRule="auto"/>
              <w:ind w:left="283" w:firstLine="426"/>
              <w:rPr>
                <w:rFonts w:ascii="Times New Roman" w:hAnsi="Times New Roman" w:cs="Times New Roman"/>
              </w:rPr>
            </w:pPr>
            <w:r w:rsidRPr="004C7179">
              <w:rPr>
                <w:rFonts w:ascii="Times New Roman" w:hAnsi="Times New Roman" w:cs="Times New Roman"/>
              </w:rPr>
              <w:t>1. Срок за изпълнение – П1</w:t>
            </w:r>
          </w:p>
        </w:tc>
        <w:tc>
          <w:tcPr>
            <w:tcW w:w="2376" w:type="dxa"/>
            <w:vAlign w:val="center"/>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rPr>
            </w:pPr>
            <w:r w:rsidRPr="004C7179">
              <w:rPr>
                <w:rFonts w:ascii="Times New Roman" w:hAnsi="Times New Roman" w:cs="Times New Roman"/>
              </w:rPr>
              <w:t>100</w:t>
            </w:r>
          </w:p>
        </w:tc>
        <w:tc>
          <w:tcPr>
            <w:tcW w:w="2490" w:type="dxa"/>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rPr>
            </w:pPr>
            <w:r w:rsidRPr="004C7179">
              <w:rPr>
                <w:rFonts w:ascii="Times New Roman" w:hAnsi="Times New Roman" w:cs="Times New Roman"/>
              </w:rPr>
              <w:t>1</w:t>
            </w:r>
            <w:r w:rsidRPr="004C7179">
              <w:rPr>
                <w:rFonts w:ascii="Times New Roman" w:hAnsi="Times New Roman" w:cs="Times New Roman"/>
                <w:lang w:val="en-US"/>
              </w:rPr>
              <w:t>0</w:t>
            </w:r>
            <w:r w:rsidRPr="004C7179">
              <w:rPr>
                <w:rFonts w:ascii="Times New Roman" w:hAnsi="Times New Roman" w:cs="Times New Roman"/>
              </w:rPr>
              <w:t xml:space="preserve"> %</w:t>
            </w:r>
          </w:p>
        </w:tc>
      </w:tr>
      <w:tr w:rsidR="00343C37" w:rsidRPr="00630234">
        <w:trPr>
          <w:jc w:val="center"/>
        </w:trPr>
        <w:tc>
          <w:tcPr>
            <w:tcW w:w="4962" w:type="dxa"/>
            <w:vAlign w:val="center"/>
          </w:tcPr>
          <w:p w:rsidR="00343C37" w:rsidRPr="004C7179" w:rsidRDefault="00343C37" w:rsidP="004C7179">
            <w:pPr>
              <w:widowControl w:val="0"/>
              <w:autoSpaceDE w:val="0"/>
              <w:autoSpaceDN w:val="0"/>
              <w:adjustRightInd w:val="0"/>
              <w:spacing w:after="0" w:line="240" w:lineRule="auto"/>
              <w:ind w:left="283" w:firstLine="426"/>
              <w:rPr>
                <w:rFonts w:ascii="Times New Roman" w:hAnsi="Times New Roman" w:cs="Times New Roman"/>
              </w:rPr>
            </w:pPr>
            <w:r w:rsidRPr="004C7179">
              <w:rPr>
                <w:rFonts w:ascii="Times New Roman" w:hAnsi="Times New Roman" w:cs="Times New Roman"/>
              </w:rPr>
              <w:t>2. Техническо предложение –П2</w:t>
            </w:r>
          </w:p>
        </w:tc>
        <w:tc>
          <w:tcPr>
            <w:tcW w:w="2376" w:type="dxa"/>
            <w:vAlign w:val="center"/>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rPr>
            </w:pPr>
            <w:r w:rsidRPr="004C7179">
              <w:rPr>
                <w:rFonts w:ascii="Times New Roman" w:hAnsi="Times New Roman" w:cs="Times New Roman"/>
              </w:rPr>
              <w:t>100</w:t>
            </w:r>
          </w:p>
        </w:tc>
        <w:tc>
          <w:tcPr>
            <w:tcW w:w="2490" w:type="dxa"/>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rPr>
            </w:pPr>
            <w:r w:rsidRPr="004C7179">
              <w:rPr>
                <w:rFonts w:ascii="Times New Roman" w:hAnsi="Times New Roman" w:cs="Times New Roman"/>
              </w:rPr>
              <w:t>40 %</w:t>
            </w:r>
          </w:p>
        </w:tc>
      </w:tr>
      <w:tr w:rsidR="00343C37" w:rsidRPr="00630234">
        <w:trPr>
          <w:jc w:val="center"/>
        </w:trPr>
        <w:tc>
          <w:tcPr>
            <w:tcW w:w="4962" w:type="dxa"/>
            <w:vAlign w:val="center"/>
          </w:tcPr>
          <w:p w:rsidR="00343C37" w:rsidRPr="004C7179" w:rsidRDefault="00343C37" w:rsidP="006D24CF">
            <w:pPr>
              <w:widowControl w:val="0"/>
              <w:tabs>
                <w:tab w:val="left" w:pos="601"/>
              </w:tabs>
              <w:autoSpaceDE w:val="0"/>
              <w:autoSpaceDN w:val="0"/>
              <w:adjustRightInd w:val="0"/>
              <w:spacing w:after="0" w:line="240" w:lineRule="auto"/>
              <w:ind w:left="283" w:firstLine="426"/>
              <w:rPr>
                <w:rFonts w:ascii="Times New Roman" w:hAnsi="Times New Roman" w:cs="Times New Roman"/>
              </w:rPr>
            </w:pPr>
            <w:r w:rsidRPr="004C7179">
              <w:rPr>
                <w:rFonts w:ascii="Times New Roman" w:hAnsi="Times New Roman" w:cs="Times New Roman"/>
              </w:rPr>
              <w:t xml:space="preserve">3. </w:t>
            </w:r>
            <w:r w:rsidR="006D24CF">
              <w:rPr>
                <w:rFonts w:ascii="Times New Roman" w:hAnsi="Times New Roman" w:cs="Times New Roman"/>
              </w:rPr>
              <w:t>Ценово предложение</w:t>
            </w:r>
            <w:r w:rsidRPr="004C7179">
              <w:rPr>
                <w:rFonts w:ascii="Times New Roman" w:hAnsi="Times New Roman" w:cs="Times New Roman"/>
              </w:rPr>
              <w:t xml:space="preserve"> – П3</w:t>
            </w:r>
          </w:p>
        </w:tc>
        <w:tc>
          <w:tcPr>
            <w:tcW w:w="2376" w:type="dxa"/>
            <w:vAlign w:val="center"/>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rPr>
            </w:pPr>
            <w:r w:rsidRPr="004C7179">
              <w:rPr>
                <w:rFonts w:ascii="Times New Roman" w:hAnsi="Times New Roman" w:cs="Times New Roman"/>
              </w:rPr>
              <w:t>100</w:t>
            </w:r>
          </w:p>
        </w:tc>
        <w:tc>
          <w:tcPr>
            <w:tcW w:w="2490" w:type="dxa"/>
          </w:tcPr>
          <w:p w:rsidR="00343C37" w:rsidRPr="004C7179" w:rsidRDefault="00343C37" w:rsidP="004C7179">
            <w:pPr>
              <w:widowControl w:val="0"/>
              <w:autoSpaceDE w:val="0"/>
              <w:autoSpaceDN w:val="0"/>
              <w:adjustRightInd w:val="0"/>
              <w:spacing w:after="0" w:line="240" w:lineRule="auto"/>
              <w:ind w:left="283"/>
              <w:rPr>
                <w:rFonts w:ascii="Times New Roman" w:hAnsi="Times New Roman" w:cs="Times New Roman"/>
              </w:rPr>
            </w:pPr>
            <w:r w:rsidRPr="004C7179">
              <w:rPr>
                <w:rFonts w:ascii="Times New Roman" w:hAnsi="Times New Roman" w:cs="Times New Roman"/>
              </w:rPr>
              <w:t>50 %</w:t>
            </w:r>
          </w:p>
        </w:tc>
      </w:tr>
    </w:tbl>
    <w:p w:rsidR="00343C37" w:rsidRPr="004C7179" w:rsidRDefault="00343C37" w:rsidP="004C7179">
      <w:pPr>
        <w:widowControl w:val="0"/>
        <w:autoSpaceDE w:val="0"/>
        <w:autoSpaceDN w:val="0"/>
        <w:adjustRightInd w:val="0"/>
        <w:spacing w:after="0" w:line="240" w:lineRule="auto"/>
        <w:ind w:left="283" w:firstLine="540"/>
        <w:jc w:val="both"/>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ind w:left="283" w:firstLine="540"/>
        <w:rPr>
          <w:rFonts w:ascii="Times New Roman" w:hAnsi="Times New Roman" w:cs="Times New Roman"/>
        </w:rPr>
      </w:pPr>
      <w:r w:rsidRPr="004C7179">
        <w:rPr>
          <w:rFonts w:ascii="Times New Roman" w:hAnsi="Times New Roman" w:cs="Times New Roman"/>
        </w:rPr>
        <w:t>Формулата по която се изчислява „Комплексната оценка” (КО) за всеки участник е:</w:t>
      </w:r>
    </w:p>
    <w:p w:rsidR="00343C37" w:rsidRPr="004C7179" w:rsidRDefault="00343C37" w:rsidP="004C7179">
      <w:pPr>
        <w:widowControl w:val="0"/>
        <w:autoSpaceDE w:val="0"/>
        <w:autoSpaceDN w:val="0"/>
        <w:adjustRightInd w:val="0"/>
        <w:spacing w:after="0" w:line="240" w:lineRule="auto"/>
        <w:ind w:left="283" w:firstLine="540"/>
        <w:rPr>
          <w:rFonts w:ascii="Times New Roman" w:hAnsi="Times New Roman" w:cs="Times New Roman"/>
          <w:b/>
          <w:bCs/>
        </w:rPr>
      </w:pPr>
      <w:r w:rsidRPr="004C7179">
        <w:rPr>
          <w:rFonts w:ascii="Times New Roman" w:hAnsi="Times New Roman" w:cs="Times New Roman"/>
          <w:b/>
          <w:bCs/>
        </w:rPr>
        <w:t>КО = П1х 1</w:t>
      </w:r>
      <w:r w:rsidRPr="004C7179">
        <w:rPr>
          <w:rFonts w:ascii="Times New Roman" w:hAnsi="Times New Roman" w:cs="Times New Roman"/>
          <w:b/>
          <w:bCs/>
          <w:lang w:val="ru-RU"/>
        </w:rPr>
        <w:t>0</w:t>
      </w:r>
      <w:r w:rsidRPr="004C7179">
        <w:rPr>
          <w:rFonts w:ascii="Times New Roman" w:hAnsi="Times New Roman" w:cs="Times New Roman"/>
          <w:b/>
          <w:bCs/>
        </w:rPr>
        <w:t xml:space="preserve"> %+ П2х 4</w:t>
      </w:r>
      <w:r w:rsidRPr="004C7179">
        <w:rPr>
          <w:rFonts w:ascii="Times New Roman" w:hAnsi="Times New Roman" w:cs="Times New Roman"/>
          <w:b/>
          <w:bCs/>
          <w:lang w:val="ru-RU"/>
        </w:rPr>
        <w:t>0</w:t>
      </w:r>
      <w:r w:rsidRPr="004C7179">
        <w:rPr>
          <w:rFonts w:ascii="Times New Roman" w:hAnsi="Times New Roman" w:cs="Times New Roman"/>
          <w:b/>
          <w:bCs/>
        </w:rPr>
        <w:t xml:space="preserve"> % + П3х 50 %</w:t>
      </w:r>
    </w:p>
    <w:p w:rsidR="00343C37" w:rsidRPr="004C7179" w:rsidRDefault="00343C37" w:rsidP="004C7179">
      <w:pPr>
        <w:widowControl w:val="0"/>
        <w:autoSpaceDE w:val="0"/>
        <w:autoSpaceDN w:val="0"/>
        <w:adjustRightInd w:val="0"/>
        <w:spacing w:after="0" w:line="240" w:lineRule="auto"/>
        <w:ind w:left="283" w:firstLine="540"/>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b/>
          <w:bCs/>
          <w:i/>
          <w:iCs/>
          <w:lang w:val="ru-RU" w:eastAsia="fr-FR"/>
        </w:rPr>
      </w:pPr>
      <w:r w:rsidRPr="004C7179">
        <w:rPr>
          <w:rFonts w:ascii="Times New Roman" w:hAnsi="Times New Roman" w:cs="Times New Roman"/>
          <w:b/>
          <w:bCs/>
          <w:i/>
          <w:iCs/>
          <w:lang w:eastAsia="fr-FR"/>
        </w:rPr>
        <w:t>Преди да пристъпи към оценяване на показателите от техническите оферти,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i/>
          <w:iCs/>
          <w:lang w:val="ru-RU"/>
        </w:rPr>
      </w:pPr>
    </w:p>
    <w:p w:rsidR="00343C37" w:rsidRDefault="00343C37" w:rsidP="004C7179">
      <w:pPr>
        <w:spacing w:after="0" w:line="240" w:lineRule="auto"/>
        <w:ind w:firstLine="567"/>
        <w:jc w:val="both"/>
        <w:rPr>
          <w:rFonts w:ascii="Times New Roman" w:hAnsi="Times New Roman" w:cs="Times New Roman"/>
          <w:b/>
          <w:bCs/>
          <w:lang w:val="en-US"/>
        </w:rPr>
      </w:pPr>
      <w:r w:rsidRPr="004C7179">
        <w:rPr>
          <w:rFonts w:ascii="Times New Roman" w:hAnsi="Times New Roman" w:cs="Times New Roman"/>
          <w:b/>
          <w:bCs/>
        </w:rPr>
        <w:t>3.Показател „СРОК ЗА ИЗПЪЛНЕНИЕ” – П1</w:t>
      </w:r>
    </w:p>
    <w:p w:rsidR="00CF5809" w:rsidRPr="00CF5809" w:rsidRDefault="00CF5809" w:rsidP="004C7179">
      <w:pPr>
        <w:spacing w:after="0" w:line="240" w:lineRule="auto"/>
        <w:ind w:firstLine="567"/>
        <w:jc w:val="both"/>
        <w:rPr>
          <w:rFonts w:ascii="Times New Roman" w:hAnsi="Times New Roman" w:cs="Times New Roman"/>
          <w:b/>
          <w:bCs/>
          <w:lang w:val="en-US"/>
        </w:rPr>
      </w:pP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lang w:val="ru-RU"/>
        </w:rPr>
      </w:pPr>
      <w:r w:rsidRPr="004C7179">
        <w:rPr>
          <w:rFonts w:ascii="Times New Roman" w:hAnsi="Times New Roman" w:cs="Times New Roman"/>
        </w:rPr>
        <w:t xml:space="preserve">Оценява се предложения от участника общ срок за изпълнение на поръчката в месеци. </w:t>
      </w:r>
      <w:r w:rsidRPr="004C7179">
        <w:rPr>
          <w:rFonts w:ascii="Times New Roman" w:hAnsi="Times New Roman" w:cs="Times New Roman"/>
          <w:lang w:val="ru-RU"/>
        </w:rPr>
        <w:t>Предложенията по показател срок за изпълнение се представят като цяло число или десетична дроб в месеци с точност до втория знак след десетичната запетая. При изчисляването от календарни дни съгласно линейния график в месеци следва де се вземе като константа брой дни в месеца 30. Ще бъдат отстранени предложения, в които срок</w:t>
      </w:r>
      <w:r w:rsidRPr="004C7179">
        <w:rPr>
          <w:rFonts w:ascii="Times New Roman" w:hAnsi="Times New Roman" w:cs="Times New Roman"/>
        </w:rPr>
        <w:t>ът за изпълнение</w:t>
      </w:r>
      <w:r w:rsidRPr="004C7179">
        <w:rPr>
          <w:rFonts w:ascii="Times New Roman" w:hAnsi="Times New Roman" w:cs="Times New Roman"/>
          <w:lang w:val="ru-RU"/>
        </w:rPr>
        <w:t xml:space="preserve">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w:t>
      </w:r>
      <w:r w:rsidRPr="004C7179">
        <w:rPr>
          <w:rFonts w:ascii="Times New Roman" w:hAnsi="Times New Roman" w:cs="Times New Roman"/>
        </w:rPr>
        <w:t xml:space="preserve"> и/или е предложен срок за изпълнение, който надвишава максималния допустим срок за изпълнението на поръчката</w:t>
      </w:r>
      <w:r w:rsidRPr="004C7179">
        <w:rPr>
          <w:rFonts w:ascii="Times New Roman" w:hAnsi="Times New Roman" w:cs="Times New Roman"/>
          <w:lang w:val="ru-RU"/>
        </w:rPr>
        <w:t>.</w:t>
      </w:r>
      <w:r w:rsidRPr="004C7179">
        <w:rPr>
          <w:rFonts w:ascii="Times New Roman" w:hAnsi="Times New Roman" w:cs="Times New Roman"/>
        </w:rPr>
        <w:t xml:space="preserve"> Участникът предложил най – кратък срок за изпълнение получва максимален брой точки по показателя – 100 точки. Относителната тежест на показателя в комплексната оценка е 1</w:t>
      </w:r>
      <w:r w:rsidRPr="004C7179">
        <w:rPr>
          <w:rFonts w:ascii="Times New Roman" w:hAnsi="Times New Roman" w:cs="Times New Roman"/>
          <w:lang w:val="ru-RU"/>
        </w:rPr>
        <w:t>0</w:t>
      </w:r>
      <w:r w:rsidRPr="004C7179">
        <w:rPr>
          <w:rFonts w:ascii="Times New Roman" w:hAnsi="Times New Roman" w:cs="Times New Roman"/>
        </w:rPr>
        <w:t xml:space="preserve"> %. Оценките на участниците по показателя се изчисляват по формулата: </w:t>
      </w:r>
    </w:p>
    <w:p w:rsidR="00343C37" w:rsidRPr="004C7179" w:rsidRDefault="00343C37" w:rsidP="004C7179">
      <w:pPr>
        <w:widowControl w:val="0"/>
        <w:autoSpaceDE w:val="0"/>
        <w:autoSpaceDN w:val="0"/>
        <w:adjustRightInd w:val="0"/>
        <w:spacing w:after="0" w:line="240" w:lineRule="auto"/>
        <w:ind w:right="-2" w:firstLine="540"/>
        <w:jc w:val="both"/>
        <w:rPr>
          <w:rFonts w:ascii="Times New Roman" w:hAnsi="Times New Roman" w:cs="Times New Roman"/>
          <w:b/>
          <w:bCs/>
        </w:rPr>
      </w:pPr>
    </w:p>
    <w:p w:rsidR="00343C37" w:rsidRPr="004C7179" w:rsidRDefault="00343C37" w:rsidP="004C7179">
      <w:pPr>
        <w:widowControl w:val="0"/>
        <w:autoSpaceDE w:val="0"/>
        <w:autoSpaceDN w:val="0"/>
        <w:adjustRightInd w:val="0"/>
        <w:spacing w:after="0" w:line="240" w:lineRule="auto"/>
        <w:ind w:right="-2" w:firstLine="540"/>
        <w:jc w:val="both"/>
        <w:rPr>
          <w:rFonts w:ascii="Times New Roman" w:hAnsi="Times New Roman" w:cs="Times New Roman"/>
          <w:b/>
          <w:bCs/>
        </w:rPr>
      </w:pPr>
      <w:r w:rsidRPr="004C7179">
        <w:rPr>
          <w:rFonts w:ascii="Times New Roman" w:hAnsi="Times New Roman" w:cs="Times New Roman"/>
          <w:b/>
          <w:bCs/>
        </w:rPr>
        <w:t>П1 = (Сmin / Сi) х 100 = .......... (брой точки)</w:t>
      </w:r>
    </w:p>
    <w:p w:rsidR="00343C37" w:rsidRPr="004C7179" w:rsidRDefault="00343C37" w:rsidP="004C7179">
      <w:pPr>
        <w:widowControl w:val="0"/>
        <w:autoSpaceDE w:val="0"/>
        <w:autoSpaceDN w:val="0"/>
        <w:adjustRightInd w:val="0"/>
        <w:spacing w:after="0" w:line="240" w:lineRule="auto"/>
        <w:ind w:right="-2" w:firstLine="540"/>
        <w:jc w:val="both"/>
        <w:rPr>
          <w:rFonts w:ascii="Times New Roman" w:hAnsi="Times New Roman" w:cs="Times New Roman"/>
          <w:b/>
          <w:bCs/>
        </w:rPr>
      </w:pPr>
    </w:p>
    <w:p w:rsidR="00343C37" w:rsidRPr="004C7179" w:rsidRDefault="00343C37" w:rsidP="004C7179">
      <w:pPr>
        <w:widowControl w:val="0"/>
        <w:autoSpaceDE w:val="0"/>
        <w:autoSpaceDN w:val="0"/>
        <w:adjustRightInd w:val="0"/>
        <w:spacing w:after="0" w:line="240" w:lineRule="auto"/>
        <w:ind w:right="-2" w:firstLine="540"/>
        <w:jc w:val="both"/>
        <w:rPr>
          <w:rFonts w:ascii="Times New Roman" w:hAnsi="Times New Roman" w:cs="Times New Roman"/>
        </w:rPr>
      </w:pPr>
      <w:r w:rsidRPr="004C7179">
        <w:rPr>
          <w:rFonts w:ascii="Times New Roman" w:hAnsi="Times New Roman" w:cs="Times New Roman"/>
        </w:rPr>
        <w:t xml:space="preserve">Където </w:t>
      </w:r>
      <w:r w:rsidRPr="004C7179">
        <w:rPr>
          <w:rFonts w:ascii="Times New Roman" w:hAnsi="Times New Roman" w:cs="Times New Roman"/>
          <w:b/>
          <w:bCs/>
        </w:rPr>
        <w:t>Сi</w:t>
      </w:r>
      <w:r w:rsidRPr="004C7179">
        <w:rPr>
          <w:rFonts w:ascii="Times New Roman" w:hAnsi="Times New Roman" w:cs="Times New Roman"/>
        </w:rPr>
        <w:t xml:space="preserve"> е предложения срок на изпълнение съгласно Техническото предложение на съответния участник.</w:t>
      </w: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b/>
          <w:bCs/>
        </w:rPr>
      </w:pPr>
      <w:r w:rsidRPr="004C7179">
        <w:rPr>
          <w:rFonts w:ascii="Times New Roman" w:hAnsi="Times New Roman" w:cs="Times New Roman"/>
        </w:rPr>
        <w:lastRenderedPageBreak/>
        <w:t xml:space="preserve">Където </w:t>
      </w:r>
      <w:r w:rsidRPr="004C7179">
        <w:rPr>
          <w:rFonts w:ascii="Times New Roman" w:hAnsi="Times New Roman" w:cs="Times New Roman"/>
          <w:b/>
          <w:bCs/>
        </w:rPr>
        <w:t>Сmin</w:t>
      </w:r>
      <w:r w:rsidRPr="004C7179">
        <w:rPr>
          <w:rFonts w:ascii="Times New Roman" w:hAnsi="Times New Roman" w:cs="Times New Roman"/>
        </w:rPr>
        <w:t xml:space="preserve"> е минималния предложен срок на изпълнение съгласно Техническите предложения от всички допуснати до оценка участници.</w:t>
      </w: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b/>
          <w:bCs/>
          <w:lang w:val="ru-RU"/>
        </w:rPr>
      </w:pP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b/>
          <w:bCs/>
          <w:lang w:val="ru-RU"/>
        </w:rPr>
      </w:pPr>
    </w:p>
    <w:p w:rsidR="00343C37" w:rsidRPr="004C7179" w:rsidRDefault="00343C37" w:rsidP="004C7179">
      <w:pPr>
        <w:spacing w:after="0" w:line="240" w:lineRule="auto"/>
        <w:ind w:firstLine="567"/>
        <w:jc w:val="both"/>
        <w:rPr>
          <w:rFonts w:ascii="Times New Roman" w:hAnsi="Times New Roman" w:cs="Times New Roman"/>
          <w:b/>
          <w:bCs/>
        </w:rPr>
      </w:pPr>
      <w:r w:rsidRPr="004C7179">
        <w:rPr>
          <w:rFonts w:ascii="Times New Roman" w:hAnsi="Times New Roman" w:cs="Times New Roman"/>
          <w:b/>
          <w:bCs/>
        </w:rPr>
        <w:t>4.</w:t>
      </w:r>
      <w:r w:rsidRPr="004C7179">
        <w:rPr>
          <w:rFonts w:ascii="Times New Roman" w:hAnsi="Times New Roman" w:cs="Times New Roman"/>
          <w:b/>
          <w:bCs/>
          <w:lang w:val="ru-RU"/>
        </w:rPr>
        <w:t xml:space="preserve"> </w:t>
      </w:r>
      <w:r w:rsidRPr="004C7179">
        <w:rPr>
          <w:rFonts w:ascii="Times New Roman" w:hAnsi="Times New Roman" w:cs="Times New Roman"/>
          <w:b/>
          <w:bCs/>
        </w:rPr>
        <w:t>Показател „ТЕХНИЧЕСКО ПРЕДЛОЖЕНИЕ” – П2</w:t>
      </w:r>
    </w:p>
    <w:p w:rsidR="00343C37" w:rsidRPr="004C7179" w:rsidRDefault="00343C37" w:rsidP="004C7179">
      <w:pPr>
        <w:widowControl w:val="0"/>
        <w:tabs>
          <w:tab w:val="left" w:pos="360"/>
          <w:tab w:val="left" w:pos="1069"/>
        </w:tabs>
        <w:autoSpaceDE w:val="0"/>
        <w:autoSpaceDN w:val="0"/>
        <w:adjustRightInd w:val="0"/>
        <w:spacing w:after="0" w:line="240" w:lineRule="auto"/>
        <w:ind w:firstLine="540"/>
        <w:jc w:val="both"/>
        <w:rPr>
          <w:rFonts w:ascii="Times New Roman" w:hAnsi="Times New Roman" w:cs="Times New Roman"/>
          <w:b/>
          <w:bCs/>
        </w:rPr>
      </w:pP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rPr>
      </w:pPr>
      <w:r w:rsidRPr="004C7179">
        <w:rPr>
          <w:rFonts w:ascii="Times New Roman" w:hAnsi="Times New Roman" w:cs="Times New Roman"/>
          <w:lang w:val="ru-RU"/>
        </w:rPr>
        <w:t xml:space="preserve">Максимален брой точки по показателя - 100 точки. Относителна тежест на показателя в комплексната оценка 40%. </w:t>
      </w:r>
      <w:r w:rsidRPr="004C7179">
        <w:rPr>
          <w:rFonts w:ascii="Times New Roman" w:hAnsi="Times New Roman" w:cs="Times New Roman"/>
        </w:rPr>
        <w:t>Изчислява се по формулата:</w:t>
      </w: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b/>
          <w:bCs/>
        </w:rPr>
      </w:pP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rPr>
      </w:pPr>
      <w:r w:rsidRPr="004C7179">
        <w:rPr>
          <w:rFonts w:ascii="Times New Roman" w:hAnsi="Times New Roman" w:cs="Times New Roman"/>
          <w:b/>
          <w:bCs/>
        </w:rPr>
        <w:t xml:space="preserve">П2 = А + Б + В,  </w:t>
      </w:r>
      <w:r w:rsidRPr="004C7179">
        <w:rPr>
          <w:rFonts w:ascii="Times New Roman" w:hAnsi="Times New Roman" w:cs="Times New Roman"/>
        </w:rPr>
        <w:t>където:</w:t>
      </w:r>
    </w:p>
    <w:p w:rsidR="00343C37" w:rsidRPr="004C7179" w:rsidRDefault="00343C37" w:rsidP="004C7179">
      <w:pPr>
        <w:widowControl w:val="0"/>
        <w:autoSpaceDE w:val="0"/>
        <w:autoSpaceDN w:val="0"/>
        <w:adjustRightInd w:val="0"/>
        <w:spacing w:after="0" w:line="240" w:lineRule="auto"/>
        <w:ind w:firstLine="540"/>
        <w:jc w:val="both"/>
        <w:rPr>
          <w:rFonts w:ascii="Times New Roman" w:hAnsi="Times New Roman" w:cs="Times New Roman"/>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851"/>
        <w:gridCol w:w="1969"/>
      </w:tblGrid>
      <w:tr w:rsidR="00343C37" w:rsidRPr="00630234">
        <w:trPr>
          <w:jc w:val="center"/>
        </w:trPr>
        <w:tc>
          <w:tcPr>
            <w:tcW w:w="741" w:type="dxa"/>
            <w:vAlign w:val="center"/>
          </w:tcPr>
          <w:p w:rsidR="00343C37" w:rsidRPr="004C7179" w:rsidRDefault="00343C37" w:rsidP="004C7179">
            <w:pPr>
              <w:widowControl w:val="0"/>
              <w:tabs>
                <w:tab w:val="left" w:pos="0"/>
                <w:tab w:val="left" w:pos="1211"/>
              </w:tabs>
              <w:autoSpaceDE w:val="0"/>
              <w:autoSpaceDN w:val="0"/>
              <w:adjustRightInd w:val="0"/>
              <w:spacing w:after="0" w:line="240" w:lineRule="auto"/>
              <w:ind w:left="283"/>
              <w:jc w:val="center"/>
              <w:rPr>
                <w:rFonts w:ascii="Times New Roman" w:hAnsi="Times New Roman" w:cs="Times New Roman"/>
                <w:b/>
                <w:bCs/>
              </w:rPr>
            </w:pPr>
            <w:r w:rsidRPr="004C7179">
              <w:rPr>
                <w:rFonts w:ascii="Times New Roman" w:hAnsi="Times New Roman" w:cs="Times New Roman"/>
                <w:b/>
                <w:bCs/>
              </w:rPr>
              <w:t>№</w:t>
            </w:r>
          </w:p>
        </w:tc>
        <w:tc>
          <w:tcPr>
            <w:tcW w:w="6851" w:type="dxa"/>
            <w:vAlign w:val="center"/>
          </w:tcPr>
          <w:p w:rsidR="00343C37" w:rsidRPr="004C7179" w:rsidRDefault="00343C37" w:rsidP="004C7179">
            <w:pPr>
              <w:widowControl w:val="0"/>
              <w:tabs>
                <w:tab w:val="left" w:pos="0"/>
                <w:tab w:val="left" w:pos="1211"/>
              </w:tabs>
              <w:autoSpaceDE w:val="0"/>
              <w:autoSpaceDN w:val="0"/>
              <w:adjustRightInd w:val="0"/>
              <w:spacing w:after="0" w:line="240" w:lineRule="auto"/>
              <w:ind w:left="284"/>
              <w:jc w:val="center"/>
              <w:rPr>
                <w:rFonts w:ascii="Times New Roman" w:hAnsi="Times New Roman" w:cs="Times New Roman"/>
                <w:b/>
                <w:bCs/>
              </w:rPr>
            </w:pPr>
            <w:r w:rsidRPr="004C7179">
              <w:rPr>
                <w:rFonts w:ascii="Times New Roman" w:hAnsi="Times New Roman" w:cs="Times New Roman"/>
                <w:b/>
                <w:bCs/>
              </w:rPr>
              <w:t>Подпоказател</w:t>
            </w:r>
          </w:p>
        </w:tc>
        <w:tc>
          <w:tcPr>
            <w:tcW w:w="1969" w:type="dxa"/>
            <w:vAlign w:val="center"/>
          </w:tcPr>
          <w:p w:rsidR="00343C37" w:rsidRPr="004C7179" w:rsidRDefault="00343C37" w:rsidP="004C7179">
            <w:pPr>
              <w:widowControl w:val="0"/>
              <w:tabs>
                <w:tab w:val="left" w:pos="0"/>
                <w:tab w:val="left" w:pos="1211"/>
              </w:tabs>
              <w:autoSpaceDE w:val="0"/>
              <w:autoSpaceDN w:val="0"/>
              <w:adjustRightInd w:val="0"/>
              <w:spacing w:after="0" w:line="240" w:lineRule="auto"/>
              <w:ind w:left="283"/>
              <w:jc w:val="center"/>
              <w:rPr>
                <w:rFonts w:ascii="Times New Roman" w:hAnsi="Times New Roman" w:cs="Times New Roman"/>
                <w:b/>
                <w:bCs/>
              </w:rPr>
            </w:pPr>
            <w:r w:rsidRPr="004C7179">
              <w:rPr>
                <w:rFonts w:ascii="Times New Roman" w:hAnsi="Times New Roman" w:cs="Times New Roman"/>
                <w:b/>
                <w:bCs/>
              </w:rPr>
              <w:t>Макс. бр. точки</w:t>
            </w:r>
          </w:p>
        </w:tc>
      </w:tr>
      <w:tr w:rsidR="00343C37" w:rsidRPr="00630234">
        <w:trPr>
          <w:jc w:val="center"/>
        </w:trPr>
        <w:tc>
          <w:tcPr>
            <w:tcW w:w="741" w:type="dxa"/>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rPr>
            </w:pPr>
            <w:r w:rsidRPr="004C7179">
              <w:rPr>
                <w:rFonts w:ascii="Times New Roman" w:hAnsi="Times New Roman" w:cs="Times New Roman"/>
                <w:b/>
                <w:bCs/>
                <w:i/>
                <w:iCs/>
              </w:rPr>
              <w:t>А.</w:t>
            </w:r>
          </w:p>
        </w:tc>
        <w:tc>
          <w:tcPr>
            <w:tcW w:w="6851" w:type="dxa"/>
            <w:vAlign w:val="center"/>
          </w:tcPr>
          <w:p w:rsidR="00343C37" w:rsidRPr="004C7179" w:rsidRDefault="00343C37" w:rsidP="004C7179">
            <w:pPr>
              <w:widowControl w:val="0"/>
              <w:tabs>
                <w:tab w:val="left" w:pos="0"/>
                <w:tab w:val="left" w:pos="1211"/>
              </w:tabs>
              <w:autoSpaceDE w:val="0"/>
              <w:autoSpaceDN w:val="0"/>
              <w:adjustRightInd w:val="0"/>
              <w:spacing w:after="0" w:line="240" w:lineRule="auto"/>
              <w:rPr>
                <w:rFonts w:ascii="Times New Roman" w:hAnsi="Times New Roman" w:cs="Times New Roman"/>
                <w:b/>
                <w:bCs/>
                <w:lang w:val="ru-RU"/>
              </w:rPr>
            </w:pPr>
            <w:r w:rsidRPr="004C7179">
              <w:rPr>
                <w:rFonts w:ascii="Times New Roman" w:hAnsi="Times New Roman" w:cs="Times New Roman"/>
                <w:b/>
                <w:bCs/>
                <w:i/>
                <w:iCs/>
                <w:lang w:val="ru-RU"/>
              </w:rPr>
              <w:t>ТЕХНОЛОГИЧНА ПОСЛЕДОВАТЕЛНОСТ НА СТРОИТЕЛНИТЕ ПРОЦЕСИ</w:t>
            </w:r>
          </w:p>
        </w:tc>
        <w:tc>
          <w:tcPr>
            <w:tcW w:w="1969" w:type="dxa"/>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rPr>
            </w:pPr>
            <w:r w:rsidRPr="004C7179">
              <w:rPr>
                <w:rFonts w:ascii="Times New Roman" w:hAnsi="Times New Roman" w:cs="Times New Roman"/>
                <w:b/>
                <w:bCs/>
                <w:i/>
                <w:iCs/>
              </w:rPr>
              <w:t>50</w:t>
            </w:r>
          </w:p>
        </w:tc>
      </w:tr>
      <w:tr w:rsidR="00343C37" w:rsidRPr="00630234">
        <w:trPr>
          <w:trHeight w:val="415"/>
          <w:jc w:val="center"/>
        </w:trPr>
        <w:tc>
          <w:tcPr>
            <w:tcW w:w="741" w:type="dxa"/>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rPr>
            </w:pPr>
            <w:r w:rsidRPr="004C7179">
              <w:rPr>
                <w:rFonts w:ascii="Times New Roman" w:hAnsi="Times New Roman" w:cs="Times New Roman"/>
                <w:b/>
                <w:bCs/>
                <w:i/>
                <w:iCs/>
              </w:rPr>
              <w:t>Б.</w:t>
            </w:r>
          </w:p>
        </w:tc>
        <w:tc>
          <w:tcPr>
            <w:tcW w:w="6851" w:type="dxa"/>
            <w:vAlign w:val="center"/>
          </w:tcPr>
          <w:p w:rsidR="00343C37" w:rsidRPr="004C7179" w:rsidRDefault="00343C37" w:rsidP="004C7179">
            <w:pPr>
              <w:widowControl w:val="0"/>
              <w:tabs>
                <w:tab w:val="left" w:pos="0"/>
                <w:tab w:val="left" w:pos="1211"/>
              </w:tabs>
              <w:autoSpaceDE w:val="0"/>
              <w:autoSpaceDN w:val="0"/>
              <w:adjustRightInd w:val="0"/>
              <w:spacing w:after="0" w:line="240" w:lineRule="auto"/>
              <w:rPr>
                <w:rFonts w:ascii="Times New Roman" w:hAnsi="Times New Roman" w:cs="Times New Roman"/>
                <w:b/>
                <w:bCs/>
                <w:i/>
                <w:iCs/>
              </w:rPr>
            </w:pPr>
            <w:r w:rsidRPr="004C7179">
              <w:rPr>
                <w:rFonts w:ascii="Times New Roman" w:hAnsi="Times New Roman" w:cs="Times New Roman"/>
                <w:b/>
                <w:bCs/>
                <w:i/>
                <w:iCs/>
              </w:rPr>
              <w:t>УПРАВЛЕНИЕ НА РИСКА</w:t>
            </w:r>
          </w:p>
        </w:tc>
        <w:tc>
          <w:tcPr>
            <w:tcW w:w="1969" w:type="dxa"/>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rPr>
            </w:pPr>
            <w:r w:rsidRPr="004C7179">
              <w:rPr>
                <w:rFonts w:ascii="Times New Roman" w:hAnsi="Times New Roman" w:cs="Times New Roman"/>
                <w:b/>
                <w:bCs/>
                <w:i/>
                <w:iCs/>
              </w:rPr>
              <w:t>30</w:t>
            </w:r>
          </w:p>
        </w:tc>
      </w:tr>
      <w:tr w:rsidR="00343C37" w:rsidRPr="00630234">
        <w:trPr>
          <w:trHeight w:val="415"/>
          <w:jc w:val="center"/>
        </w:trPr>
        <w:tc>
          <w:tcPr>
            <w:tcW w:w="741" w:type="dxa"/>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rPr>
            </w:pPr>
            <w:r w:rsidRPr="004C7179">
              <w:rPr>
                <w:rFonts w:ascii="Times New Roman" w:hAnsi="Times New Roman" w:cs="Times New Roman"/>
                <w:b/>
                <w:bCs/>
                <w:i/>
                <w:iCs/>
              </w:rPr>
              <w:t>В.</w:t>
            </w:r>
          </w:p>
        </w:tc>
        <w:tc>
          <w:tcPr>
            <w:tcW w:w="6851" w:type="dxa"/>
            <w:vAlign w:val="center"/>
          </w:tcPr>
          <w:p w:rsidR="00343C37" w:rsidRPr="004C7179" w:rsidRDefault="00343C37" w:rsidP="004C7179">
            <w:pPr>
              <w:widowControl w:val="0"/>
              <w:tabs>
                <w:tab w:val="left" w:pos="0"/>
                <w:tab w:val="left" w:pos="1211"/>
              </w:tabs>
              <w:autoSpaceDE w:val="0"/>
              <w:autoSpaceDN w:val="0"/>
              <w:adjustRightInd w:val="0"/>
              <w:spacing w:after="0" w:line="240" w:lineRule="auto"/>
              <w:rPr>
                <w:rFonts w:ascii="Times New Roman" w:hAnsi="Times New Roman" w:cs="Times New Roman"/>
                <w:b/>
                <w:bCs/>
                <w:i/>
                <w:iCs/>
              </w:rPr>
            </w:pPr>
            <w:r w:rsidRPr="004C7179">
              <w:rPr>
                <w:rFonts w:ascii="Times New Roman" w:hAnsi="Times New Roman" w:cs="Times New Roman"/>
                <w:b/>
                <w:bCs/>
                <w:i/>
                <w:iCs/>
                <w:lang w:val="ru-RU"/>
              </w:rPr>
              <w:t xml:space="preserve">МЕРКИ ЗА НАМАЛЯВАНЕ НА ЗАТРУДНЕНИЯТА ЗА МЕСТНОТО НАСЕЛЕНИЕ </w:t>
            </w:r>
            <w:r w:rsidRPr="004C7179">
              <w:rPr>
                <w:rFonts w:ascii="Times New Roman" w:hAnsi="Times New Roman" w:cs="Times New Roman"/>
                <w:b/>
                <w:bCs/>
                <w:i/>
                <w:iCs/>
              </w:rPr>
              <w:t>ПРИ СМР</w:t>
            </w:r>
          </w:p>
        </w:tc>
        <w:tc>
          <w:tcPr>
            <w:tcW w:w="1969" w:type="dxa"/>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rPr>
            </w:pPr>
            <w:r w:rsidRPr="004C7179">
              <w:rPr>
                <w:rFonts w:ascii="Times New Roman" w:hAnsi="Times New Roman" w:cs="Times New Roman"/>
                <w:b/>
                <w:bCs/>
                <w:i/>
                <w:iCs/>
              </w:rPr>
              <w:t>20</w:t>
            </w:r>
          </w:p>
        </w:tc>
      </w:tr>
      <w:tr w:rsidR="00343C37" w:rsidRPr="00630234">
        <w:trPr>
          <w:trHeight w:val="421"/>
          <w:jc w:val="center"/>
        </w:trPr>
        <w:tc>
          <w:tcPr>
            <w:tcW w:w="7592" w:type="dxa"/>
            <w:gridSpan w:val="2"/>
            <w:vAlign w:val="center"/>
          </w:tcPr>
          <w:p w:rsidR="00343C37" w:rsidRPr="004C7179" w:rsidRDefault="00343C37" w:rsidP="004C7179">
            <w:pPr>
              <w:widowControl w:val="0"/>
              <w:tabs>
                <w:tab w:val="left" w:pos="0"/>
                <w:tab w:val="left" w:pos="1211"/>
              </w:tabs>
              <w:autoSpaceDE w:val="0"/>
              <w:autoSpaceDN w:val="0"/>
              <w:adjustRightInd w:val="0"/>
              <w:spacing w:after="0" w:line="240" w:lineRule="auto"/>
              <w:ind w:left="284"/>
              <w:jc w:val="right"/>
              <w:rPr>
                <w:rFonts w:ascii="Times New Roman" w:hAnsi="Times New Roman" w:cs="Times New Roman"/>
              </w:rPr>
            </w:pPr>
            <w:r w:rsidRPr="004C7179">
              <w:rPr>
                <w:rFonts w:ascii="Times New Roman" w:hAnsi="Times New Roman" w:cs="Times New Roman"/>
              </w:rPr>
              <w:t>ОБЩО:</w:t>
            </w:r>
          </w:p>
        </w:tc>
        <w:tc>
          <w:tcPr>
            <w:tcW w:w="1969" w:type="dxa"/>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rPr>
            </w:pPr>
            <w:r w:rsidRPr="004C7179">
              <w:rPr>
                <w:rFonts w:ascii="Times New Roman" w:hAnsi="Times New Roman" w:cs="Times New Roman"/>
                <w:b/>
                <w:bCs/>
                <w:i/>
                <w:iCs/>
              </w:rPr>
              <w:t>100</w:t>
            </w:r>
          </w:p>
        </w:tc>
      </w:tr>
    </w:tbl>
    <w:p w:rsidR="00343C37" w:rsidRPr="004C7179" w:rsidRDefault="00343C37" w:rsidP="004C7179">
      <w:pPr>
        <w:widowControl w:val="0"/>
        <w:autoSpaceDE w:val="0"/>
        <w:autoSpaceDN w:val="0"/>
        <w:adjustRightInd w:val="0"/>
        <w:spacing w:after="0" w:line="240" w:lineRule="auto"/>
        <w:rPr>
          <w:rFonts w:ascii="Times New Roman" w:hAnsi="Times New Roman" w:cs="Times New Roman"/>
        </w:rPr>
      </w:pPr>
    </w:p>
    <w:p w:rsidR="00343C37" w:rsidRPr="004C7179" w:rsidRDefault="00343C37" w:rsidP="004C7179">
      <w:pPr>
        <w:widowControl w:val="0"/>
        <w:autoSpaceDE w:val="0"/>
        <w:autoSpaceDN w:val="0"/>
        <w:adjustRightInd w:val="0"/>
        <w:spacing w:after="0" w:line="240" w:lineRule="auto"/>
        <w:rPr>
          <w:rFonts w:ascii="Times New Roman" w:hAnsi="Times New Roman" w:cs="Times New Roman"/>
          <w:lang w:val="ru-RU"/>
        </w:rPr>
      </w:pPr>
      <w:r w:rsidRPr="004C7179">
        <w:rPr>
          <w:rFonts w:ascii="Times New Roman" w:hAnsi="Times New Roman" w:cs="Times New Roman"/>
          <w:lang w:val="ru-RU"/>
        </w:rPr>
        <w:t xml:space="preserve">Оценката за всеки един от техническите подпоказатели (А, Б и В) се формира, както следва: </w:t>
      </w:r>
    </w:p>
    <w:p w:rsidR="00343C37" w:rsidRPr="004C7179" w:rsidRDefault="00343C37" w:rsidP="004C7179">
      <w:pPr>
        <w:widowControl w:val="0"/>
        <w:autoSpaceDE w:val="0"/>
        <w:autoSpaceDN w:val="0"/>
        <w:adjustRightInd w:val="0"/>
        <w:spacing w:after="0" w:line="240" w:lineRule="auto"/>
        <w:rPr>
          <w:rFonts w:ascii="Times New Roman" w:hAnsi="Times New Roman" w:cs="Times New Roman"/>
          <w:lang w:val="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3227"/>
        <w:gridCol w:w="552"/>
        <w:gridCol w:w="4771"/>
        <w:gridCol w:w="139"/>
        <w:gridCol w:w="1505"/>
      </w:tblGrid>
      <w:tr w:rsidR="00343C37" w:rsidRPr="00630234">
        <w:trPr>
          <w:jc w:val="center"/>
        </w:trPr>
        <w:tc>
          <w:tcPr>
            <w:tcW w:w="3085" w:type="dxa"/>
            <w:gridSpan w:val="2"/>
            <w:shd w:val="clear" w:color="auto" w:fill="FFCC99"/>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caps/>
              </w:rPr>
            </w:pPr>
            <w:r w:rsidRPr="004C7179">
              <w:rPr>
                <w:rFonts w:ascii="Times New Roman" w:hAnsi="Times New Roman" w:cs="Times New Roman"/>
                <w:b/>
                <w:bCs/>
                <w:caps/>
              </w:rPr>
              <w:t>ПОдПОКАЗАТЕЛ</w:t>
            </w:r>
          </w:p>
        </w:tc>
        <w:tc>
          <w:tcPr>
            <w:tcW w:w="5557" w:type="dxa"/>
            <w:gridSpan w:val="3"/>
            <w:shd w:val="clear" w:color="auto" w:fill="FFCC99"/>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rPr>
            </w:pPr>
            <w:r w:rsidRPr="004C7179">
              <w:rPr>
                <w:rFonts w:ascii="Times New Roman" w:hAnsi="Times New Roman" w:cs="Times New Roman"/>
                <w:b/>
                <w:bCs/>
              </w:rPr>
              <w:t>Степен на съответствие</w:t>
            </w:r>
          </w:p>
        </w:tc>
        <w:tc>
          <w:tcPr>
            <w:tcW w:w="1559" w:type="dxa"/>
            <w:shd w:val="clear" w:color="auto" w:fill="FFCC99"/>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rPr>
            </w:pPr>
            <w:r w:rsidRPr="004C7179">
              <w:rPr>
                <w:rFonts w:ascii="Times New Roman" w:hAnsi="Times New Roman" w:cs="Times New Roman"/>
                <w:b/>
                <w:bCs/>
              </w:rPr>
              <w:t>Брой точки</w:t>
            </w:r>
          </w:p>
        </w:tc>
      </w:tr>
      <w:tr w:rsidR="00343C37" w:rsidRPr="00630234">
        <w:trPr>
          <w:jc w:val="center"/>
        </w:trPr>
        <w:tc>
          <w:tcPr>
            <w:tcW w:w="8642" w:type="dxa"/>
            <w:gridSpan w:val="5"/>
            <w:shd w:val="clear" w:color="auto" w:fill="CCCCCC"/>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lang w:val="ru-RU"/>
              </w:rPr>
            </w:pPr>
            <w:r w:rsidRPr="004C7179">
              <w:rPr>
                <w:rFonts w:ascii="Times New Roman" w:hAnsi="Times New Roman" w:cs="Times New Roman"/>
                <w:b/>
                <w:bCs/>
                <w:lang w:val="ru-RU"/>
              </w:rPr>
              <w:t xml:space="preserve">А. </w:t>
            </w:r>
            <w:r w:rsidRPr="004C7179">
              <w:rPr>
                <w:rFonts w:ascii="Times New Roman" w:hAnsi="Times New Roman" w:cs="Times New Roman"/>
                <w:b/>
                <w:bCs/>
                <w:i/>
                <w:iCs/>
                <w:lang w:val="ru-RU"/>
              </w:rPr>
              <w:t>ТЕХНОЛОГИЧНА ПОСЛЕДОВАТЕЛНОСТ НА СТРОИТЕЛНИТЕ ПРОЦЕСИ</w:t>
            </w:r>
          </w:p>
        </w:tc>
        <w:tc>
          <w:tcPr>
            <w:tcW w:w="1559" w:type="dxa"/>
            <w:shd w:val="clear" w:color="auto" w:fill="CCCCCC"/>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rPr>
            </w:pPr>
            <w:r w:rsidRPr="004C7179">
              <w:rPr>
                <w:rFonts w:ascii="Times New Roman" w:hAnsi="Times New Roman" w:cs="Times New Roman"/>
                <w:b/>
                <w:bCs/>
              </w:rPr>
              <w:t>Макс. брой точки 50</w:t>
            </w:r>
          </w:p>
        </w:tc>
      </w:tr>
      <w:tr w:rsidR="00343C37" w:rsidRPr="00630234">
        <w:trPr>
          <w:jc w:val="center"/>
        </w:trPr>
        <w:tc>
          <w:tcPr>
            <w:tcW w:w="8642" w:type="dxa"/>
            <w:gridSpan w:val="5"/>
            <w:shd w:val="clear" w:color="auto" w:fill="CCCCCC"/>
            <w:vAlign w:val="center"/>
          </w:tcPr>
          <w:p w:rsidR="00343C37" w:rsidRPr="004C7179" w:rsidRDefault="00343C37" w:rsidP="004C7179">
            <w:pPr>
              <w:widowControl w:val="0"/>
              <w:autoSpaceDE w:val="0"/>
              <w:autoSpaceDN w:val="0"/>
              <w:adjustRightInd w:val="0"/>
              <w:spacing w:after="0" w:line="240" w:lineRule="auto"/>
              <w:ind w:firstLine="567"/>
              <w:jc w:val="both"/>
              <w:rPr>
                <w:rFonts w:ascii="Times New Roman" w:hAnsi="Times New Roman" w:cs="Times New Roman"/>
                <w:i/>
                <w:iCs/>
                <w:lang w:val="ru-RU"/>
              </w:rPr>
            </w:pPr>
            <w:r w:rsidRPr="004C7179">
              <w:rPr>
                <w:rFonts w:ascii="Times New Roman" w:hAnsi="Times New Roman" w:cs="Times New Roman"/>
                <w:i/>
                <w:iCs/>
                <w:lang w:val="ru-RU"/>
              </w:rPr>
              <w:t xml:space="preserve">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 отчитайки спецификите й, в оферирания срок. Проверяват се представените от участниците описания на отделните етапи на изпълнение на поръчката, като се следи за дейностите, които обхваща съответната оферта  и предложените последователност на тяхното изпълнение, организация и подход на изпълнение и линеен график с приложена диаграма на работната ръка. </w:t>
            </w:r>
          </w:p>
          <w:p w:rsidR="00343C37" w:rsidRPr="004C7179" w:rsidRDefault="00343C37" w:rsidP="004C7179">
            <w:pPr>
              <w:widowControl w:val="0"/>
              <w:autoSpaceDE w:val="0"/>
              <w:autoSpaceDN w:val="0"/>
              <w:adjustRightInd w:val="0"/>
              <w:spacing w:after="0" w:line="240" w:lineRule="auto"/>
              <w:ind w:firstLine="567"/>
              <w:jc w:val="both"/>
              <w:rPr>
                <w:rFonts w:ascii="Times New Roman" w:hAnsi="Times New Roman" w:cs="Times New Roman"/>
                <w:b/>
                <w:bCs/>
                <w:lang w:val="ru-RU"/>
              </w:rPr>
            </w:pPr>
            <w:r w:rsidRPr="004C7179">
              <w:rPr>
                <w:rFonts w:ascii="Times New Roman" w:hAnsi="Times New Roman" w:cs="Times New Roman"/>
                <w:i/>
                <w:iCs/>
                <w:lang w:val="ru-RU"/>
              </w:rPr>
              <w:t>По отношение на офертите на допуснатите участници се прилага методиката за оценка, като се изследват предимствата и недостатъците на съответната оферта. 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обекта, видно от представената техническа оферта.</w:t>
            </w:r>
          </w:p>
        </w:tc>
        <w:tc>
          <w:tcPr>
            <w:tcW w:w="1559" w:type="dxa"/>
            <w:shd w:val="clear" w:color="auto" w:fill="CCCCCC"/>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lang w:val="ru-RU"/>
              </w:rPr>
            </w:pPr>
          </w:p>
        </w:tc>
      </w:tr>
      <w:tr w:rsidR="00343C37" w:rsidRPr="00630234">
        <w:trPr>
          <w:jc w:val="center"/>
        </w:trPr>
        <w:tc>
          <w:tcPr>
            <w:tcW w:w="3085" w:type="dxa"/>
            <w:gridSpan w:val="2"/>
            <w:vMerge w:val="restart"/>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rPr>
            </w:pPr>
            <w:r w:rsidRPr="004C7179">
              <w:rPr>
                <w:rFonts w:ascii="Times New Roman" w:hAnsi="Times New Roman" w:cs="Times New Roman"/>
                <w:b/>
                <w:bCs/>
                <w:i/>
                <w:iCs/>
              </w:rPr>
              <w:t>Фактори, влияещи на оценката:</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numPr>
                <w:ilvl w:val="0"/>
                <w:numId w:val="2"/>
              </w:numPr>
              <w:tabs>
                <w:tab w:val="num" w:pos="29"/>
              </w:tabs>
              <w:autoSpaceDE w:val="0"/>
              <w:autoSpaceDN w:val="0"/>
              <w:adjustRightInd w:val="0"/>
              <w:spacing w:after="0" w:line="240" w:lineRule="auto"/>
              <w:ind w:left="29" w:hanging="29"/>
              <w:jc w:val="both"/>
              <w:rPr>
                <w:rFonts w:ascii="Times New Roman" w:hAnsi="Times New Roman" w:cs="Times New Roman"/>
                <w:i/>
                <w:iCs/>
                <w:lang w:val="ru-RU"/>
              </w:rPr>
            </w:pPr>
            <w:r w:rsidRPr="004C7179">
              <w:rPr>
                <w:rFonts w:ascii="Times New Roman" w:hAnsi="Times New Roman" w:cs="Times New Roman"/>
                <w:i/>
                <w:iCs/>
                <w:lang w:val="ru-RU"/>
              </w:rPr>
              <w:t>Обхванати дейности от предмета  на поръчката;</w:t>
            </w:r>
          </w:p>
          <w:p w:rsidR="00343C37" w:rsidRPr="004C7179" w:rsidRDefault="00343C37" w:rsidP="004C7179">
            <w:pPr>
              <w:widowControl w:val="0"/>
              <w:numPr>
                <w:ilvl w:val="0"/>
                <w:numId w:val="2"/>
              </w:numPr>
              <w:tabs>
                <w:tab w:val="num" w:pos="426"/>
              </w:tabs>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Описание на видовете СМР и тяхната последователност на изпълнение;</w:t>
            </w:r>
          </w:p>
          <w:p w:rsidR="00343C37" w:rsidRPr="004C7179" w:rsidRDefault="00343C37" w:rsidP="004C7179">
            <w:pPr>
              <w:widowControl w:val="0"/>
              <w:numPr>
                <w:ilvl w:val="0"/>
                <w:numId w:val="2"/>
              </w:numPr>
              <w:tabs>
                <w:tab w:val="num" w:pos="426"/>
              </w:tabs>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Организация и подход на изпълнение;</w:t>
            </w:r>
          </w:p>
          <w:p w:rsidR="00343C37" w:rsidRPr="004C7179" w:rsidRDefault="00343C37" w:rsidP="004C7179">
            <w:pPr>
              <w:widowControl w:val="0"/>
              <w:numPr>
                <w:ilvl w:val="0"/>
                <w:numId w:val="2"/>
              </w:numPr>
              <w:tabs>
                <w:tab w:val="num" w:pos="426"/>
              </w:tabs>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Съответствие на Линейния график с предложените организация и подход на изпълнение на поръчката.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lastRenderedPageBreak/>
              <w:t>За целите на настоящата методика, използваните в този раздел определения следва да се тълкуват, както следва:</w:t>
            </w:r>
          </w:p>
          <w:p w:rsidR="00343C37" w:rsidRPr="004C7179" w:rsidRDefault="00343C37" w:rsidP="004C7179">
            <w:pPr>
              <w:widowControl w:val="0"/>
              <w:numPr>
                <w:ilvl w:val="0"/>
                <w:numId w:val="3"/>
              </w:numPr>
              <w:autoSpaceDE w:val="0"/>
              <w:autoSpaceDN w:val="0"/>
              <w:adjustRightInd w:val="0"/>
              <w:spacing w:after="0" w:line="240" w:lineRule="auto"/>
              <w:ind w:firstLine="284"/>
              <w:jc w:val="both"/>
              <w:rPr>
                <w:rFonts w:ascii="Times New Roman" w:hAnsi="Times New Roman" w:cs="Times New Roman"/>
                <w:i/>
                <w:iCs/>
                <w:lang w:val="ru-RU" w:eastAsia="en-US"/>
              </w:rPr>
            </w:pPr>
            <w:r w:rsidRPr="004C7179">
              <w:rPr>
                <w:rFonts w:ascii="Times New Roman" w:hAnsi="Times New Roman" w:cs="Times New Roman"/>
                <w:i/>
                <w:iCs/>
                <w:lang w:val="ru-RU" w:eastAsia="en-US"/>
              </w:rPr>
              <w:t>„Ясно“- посочване на отделните етапи и видове СМР. Следва да се разбира изброяване, което недвусмислено посочва конкретния етап, конкретния вид СМР и по начин, по който същият да бъде индивидуализиран с предвидените в количествената сметка конкретни видове СМР;</w:t>
            </w:r>
          </w:p>
          <w:p w:rsidR="00343C37" w:rsidRPr="004C7179" w:rsidRDefault="00343C37" w:rsidP="004C7179">
            <w:pPr>
              <w:widowControl w:val="0"/>
              <w:numPr>
                <w:ilvl w:val="0"/>
                <w:numId w:val="3"/>
              </w:numPr>
              <w:autoSpaceDE w:val="0"/>
              <w:autoSpaceDN w:val="0"/>
              <w:adjustRightInd w:val="0"/>
              <w:spacing w:after="0" w:line="240" w:lineRule="auto"/>
              <w:ind w:firstLine="284"/>
              <w:jc w:val="both"/>
              <w:rPr>
                <w:rFonts w:ascii="Times New Roman" w:hAnsi="Times New Roman" w:cs="Times New Roman"/>
                <w:i/>
                <w:iCs/>
                <w:lang w:val="ru-RU" w:eastAsia="en-US"/>
              </w:rPr>
            </w:pPr>
            <w:r w:rsidRPr="004C7179">
              <w:rPr>
                <w:rFonts w:ascii="Times New Roman" w:hAnsi="Times New Roman" w:cs="Times New Roman"/>
                <w:i/>
                <w:iCs/>
                <w:lang w:val="ru-RU" w:eastAsia="en-US"/>
              </w:rPr>
              <w:t>„Подробно“- описанието, което освен, че съдържа отделни етапи, видове СМР 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343C37" w:rsidRPr="004C7179" w:rsidRDefault="00343C37" w:rsidP="004C7179">
            <w:pPr>
              <w:widowControl w:val="0"/>
              <w:numPr>
                <w:ilvl w:val="0"/>
                <w:numId w:val="3"/>
              </w:numPr>
              <w:autoSpaceDE w:val="0"/>
              <w:autoSpaceDN w:val="0"/>
              <w:adjustRightInd w:val="0"/>
              <w:spacing w:after="0" w:line="240" w:lineRule="auto"/>
              <w:ind w:firstLine="284"/>
              <w:jc w:val="both"/>
              <w:rPr>
                <w:rFonts w:ascii="Times New Roman" w:hAnsi="Times New Roman" w:cs="Times New Roman"/>
                <w:i/>
                <w:iCs/>
                <w:lang w:val="ru-RU" w:eastAsia="en-US"/>
              </w:rPr>
            </w:pPr>
            <w:r w:rsidRPr="004C7179">
              <w:rPr>
                <w:rFonts w:ascii="Times New Roman" w:hAnsi="Times New Roman" w:cs="Times New Roman"/>
                <w:i/>
                <w:iCs/>
                <w:lang w:val="ru-RU" w:eastAsia="en-US"/>
              </w:rPr>
              <w:t xml:space="preserve">„Несъществени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w:t>
            </w:r>
            <w:r w:rsidRPr="004C7179">
              <w:rPr>
                <w:rFonts w:ascii="Times New Roman" w:hAnsi="Times New Roman" w:cs="Times New Roman"/>
                <w:i/>
                <w:iCs/>
                <w:lang w:val="ru-RU" w:eastAsia="en-US"/>
              </w:rPr>
              <w:lastRenderedPageBreak/>
              <w:t>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tc>
        <w:tc>
          <w:tcPr>
            <w:tcW w:w="5557" w:type="dxa"/>
            <w:gridSpan w:val="3"/>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i/>
                <w:iCs/>
                <w:lang w:val="ru-RU"/>
              </w:rPr>
            </w:pPr>
            <w:r w:rsidRPr="004C7179">
              <w:rPr>
                <w:rFonts w:ascii="Times New Roman" w:hAnsi="Times New Roman" w:cs="Times New Roman"/>
                <w:b/>
                <w:bCs/>
                <w:i/>
                <w:iCs/>
                <w:lang w:val="ru-RU"/>
              </w:rPr>
              <w:lastRenderedPageBreak/>
              <w:t>В техническото предложение е обърнато внимание на всеки един от факторите, и е в сила всяко едно от следните обстоятелства: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 В обяснителната записка от техническото предложение към офертата се съдържат  ясно и подробно посочени предложения за реализирането на всички дейности в техническото задание. Изложени са подробно мотиви относно предложената последователност на тяхното изпълнение.От описанието е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 на конкретния обект е аргументирана и обоснована; </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lang w:val="ru-RU"/>
              </w:rPr>
            </w:pPr>
            <w:r w:rsidRPr="004C7179">
              <w:rPr>
                <w:rFonts w:ascii="Times New Roman" w:hAnsi="Times New Roman" w:cs="Times New Roman"/>
                <w:i/>
                <w:iCs/>
                <w:lang w:val="ru-RU"/>
              </w:rPr>
              <w:lastRenderedPageBreak/>
              <w:t>-Доставката на материали е съобразена с посоченото в линейния график начало и край на изпълнение на всички дейности в техническото задание;</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 Предлаганите методи за организация, контрол, използвани технологии съответстват на конкретния проект и предложената в офертата методика за неговото изпълнение; </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В обяснителната записка от техническото предложение към офертата ясно и подробно са посочени видовете материали, които участникът ще използва за изпълнението на поръчката, като към техническата оферта са приложени съответните сертификати/декларации за съответствие за всеки един от материалите;</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Налице е пълно съответствие между предложените организация и подход на изпълнение на поръчката и представения линеен график</w:t>
            </w:r>
          </w:p>
        </w:tc>
        <w:tc>
          <w:tcPr>
            <w:tcW w:w="1559" w:type="dxa"/>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r w:rsidRPr="004C7179">
              <w:rPr>
                <w:rFonts w:ascii="Times New Roman" w:hAnsi="Times New Roman" w:cs="Times New Roman"/>
                <w:i/>
                <w:iCs/>
              </w:rPr>
              <w:lastRenderedPageBreak/>
              <w:t>50 точки</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tc>
      </w:tr>
      <w:tr w:rsidR="00343C37" w:rsidRPr="00630234">
        <w:trPr>
          <w:jc w:val="center"/>
        </w:trPr>
        <w:tc>
          <w:tcPr>
            <w:tcW w:w="3085" w:type="dxa"/>
            <w:gridSpan w:val="2"/>
            <w:vMerge/>
            <w:vAlign w:val="center"/>
          </w:tcPr>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rPr>
            </w:pPr>
          </w:p>
        </w:tc>
        <w:tc>
          <w:tcPr>
            <w:tcW w:w="5557" w:type="dxa"/>
            <w:gridSpan w:val="3"/>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i/>
                <w:iCs/>
                <w:lang w:val="ru-RU"/>
              </w:rPr>
            </w:pPr>
            <w:r w:rsidRPr="004C7179">
              <w:rPr>
                <w:rFonts w:ascii="Times New Roman" w:hAnsi="Times New Roman" w:cs="Times New Roman"/>
                <w:b/>
                <w:bCs/>
                <w:i/>
                <w:iCs/>
                <w:lang w:val="ru-RU"/>
              </w:rPr>
              <w:t>В техническото предложение е обърнато внимание на всеки един от факторите, но е в сила поне едно от следните обстоятелства: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Описани са отделните етапи на изпълнение на поръчката, но не са изложени подробно мотиви относно предложената последователност на тяхното изпълнение, а същите само са маркирани и рамкирани по- общо и окрупнено;</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В обяснителната записка от техническото предложение са посочени видовете СМР, но последователността на изпълнението им не е достатъчно ясна и разбираема и/или не е подробно описана и/или не се отнася за всички СМР, а само е маркирана;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Участникът недостатъчно ясно и подробно е посочил в обяснителната записка от техническото си предложение видовете материали, които ще използва за изпълнението на поръчката и/или не е приложил към техническата оферта някои от основните сертификати/декларации за съответствие за предложените за изпълнението на поръчката материали.</w:t>
            </w:r>
          </w:p>
        </w:tc>
        <w:tc>
          <w:tcPr>
            <w:tcW w:w="1559" w:type="dxa"/>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r w:rsidRPr="004C7179">
              <w:rPr>
                <w:rFonts w:ascii="Times New Roman" w:hAnsi="Times New Roman" w:cs="Times New Roman"/>
                <w:i/>
                <w:iCs/>
              </w:rPr>
              <w:t>25 точки</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tc>
      </w:tr>
      <w:tr w:rsidR="00343C37" w:rsidRPr="00630234">
        <w:trPr>
          <w:jc w:val="center"/>
        </w:trPr>
        <w:tc>
          <w:tcPr>
            <w:tcW w:w="3085" w:type="dxa"/>
            <w:gridSpan w:val="2"/>
            <w:vMerge/>
            <w:vAlign w:val="center"/>
          </w:tcPr>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rPr>
            </w:pPr>
          </w:p>
        </w:tc>
        <w:tc>
          <w:tcPr>
            <w:tcW w:w="5557" w:type="dxa"/>
            <w:gridSpan w:val="3"/>
          </w:tcPr>
          <w:p w:rsidR="00343C37" w:rsidRPr="004C7179" w:rsidRDefault="00343C37" w:rsidP="004C7179">
            <w:pPr>
              <w:widowControl w:val="0"/>
              <w:autoSpaceDE w:val="0"/>
              <w:autoSpaceDN w:val="0"/>
              <w:adjustRightInd w:val="0"/>
              <w:spacing w:after="0" w:line="240" w:lineRule="auto"/>
              <w:rPr>
                <w:rFonts w:ascii="Times New Roman" w:hAnsi="Times New Roman" w:cs="Times New Roman"/>
                <w:b/>
                <w:bCs/>
                <w:i/>
                <w:iCs/>
                <w:lang w:val="ru-RU"/>
              </w:rPr>
            </w:pPr>
            <w:r w:rsidRPr="004C7179">
              <w:rPr>
                <w:rFonts w:ascii="Times New Roman" w:hAnsi="Times New Roman" w:cs="Times New Roman"/>
                <w:b/>
                <w:bCs/>
                <w:i/>
                <w:iCs/>
                <w:lang w:val="ru-RU"/>
              </w:rPr>
              <w:t>В техническото предложение е в сила поне едно от следните обстоятелства: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Участникът е описал само отделните етапи на изпълнение на поръчката;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Участникът е посочил в</w:t>
            </w:r>
            <w:r w:rsidRPr="004C7179">
              <w:rPr>
                <w:rFonts w:ascii="Times New Roman" w:hAnsi="Times New Roman" w:cs="Times New Roman"/>
                <w:b/>
                <w:bCs/>
                <w:i/>
                <w:iCs/>
                <w:lang w:val="ru-RU"/>
              </w:rPr>
              <w:t xml:space="preserve"> </w:t>
            </w:r>
            <w:r w:rsidRPr="004C7179">
              <w:rPr>
                <w:rFonts w:ascii="Times New Roman" w:hAnsi="Times New Roman" w:cs="Times New Roman"/>
                <w:i/>
                <w:iCs/>
                <w:lang w:val="ru-RU"/>
              </w:rPr>
              <w:t>обяснителната записка от техническото си предложение общо и бланкетно видовете СМР, като  в описаната последователност за тяхното изпълнение има пропуски 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 Участникът не е посочил в обяснителната записка от техническото си предложение всички видове </w:t>
            </w:r>
            <w:r w:rsidRPr="004C7179">
              <w:rPr>
                <w:rFonts w:ascii="Times New Roman" w:hAnsi="Times New Roman" w:cs="Times New Roman"/>
                <w:i/>
                <w:iCs/>
                <w:lang w:val="ru-RU"/>
              </w:rPr>
              <w:lastRenderedPageBreak/>
              <w:t>материали, които ще използва за изпълнението на поръчката, и не е приложил към техническата оферта по-голяма част от сертификатите/декларациите за съответствие за строителни материали.</w:t>
            </w:r>
          </w:p>
          <w:p w:rsidR="00343C37" w:rsidRPr="004C7179" w:rsidRDefault="00343C37" w:rsidP="004C7179">
            <w:pPr>
              <w:spacing w:after="0" w:line="240" w:lineRule="auto"/>
              <w:jc w:val="both"/>
              <w:rPr>
                <w:rFonts w:ascii="Times New Roman" w:hAnsi="Times New Roman" w:cs="Times New Roman"/>
                <w:i/>
                <w:iCs/>
                <w:lang w:val="ru-RU" w:eastAsia="en-US"/>
              </w:rPr>
            </w:pPr>
            <w:r w:rsidRPr="004C7179">
              <w:rPr>
                <w:rFonts w:ascii="Times New Roman" w:hAnsi="Times New Roman" w:cs="Times New Roman"/>
                <w:i/>
                <w:iCs/>
                <w:lang w:val="ru-RU" w:eastAsia="fr-FR"/>
              </w:rPr>
              <w:t>- Налице е констатирано частично съответствие между предложените организация и подход на изпълнение на поръчката и представения линеен график</w:t>
            </w:r>
          </w:p>
        </w:tc>
        <w:tc>
          <w:tcPr>
            <w:tcW w:w="1559" w:type="dxa"/>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r w:rsidRPr="004C7179">
              <w:rPr>
                <w:rFonts w:ascii="Times New Roman" w:hAnsi="Times New Roman" w:cs="Times New Roman"/>
                <w:i/>
                <w:iCs/>
              </w:rPr>
              <w:lastRenderedPageBreak/>
              <w:t xml:space="preserve">1  точка. </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tc>
      </w:tr>
      <w:tr w:rsidR="00343C37" w:rsidRPr="00630234">
        <w:trPr>
          <w:jc w:val="center"/>
        </w:trPr>
        <w:tc>
          <w:tcPr>
            <w:tcW w:w="8642" w:type="dxa"/>
            <w:gridSpan w:val="5"/>
            <w:shd w:val="clear" w:color="auto" w:fill="CCCCCC"/>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rPr>
            </w:pPr>
            <w:r w:rsidRPr="004C7179">
              <w:rPr>
                <w:rFonts w:ascii="Times New Roman" w:hAnsi="Times New Roman" w:cs="Times New Roman"/>
                <w:b/>
                <w:bCs/>
                <w:i/>
                <w:iCs/>
              </w:rPr>
              <w:lastRenderedPageBreak/>
              <w:t>Б.УПРАВЛЕНИЕ НА РИСКА</w:t>
            </w:r>
            <w:r w:rsidRPr="004C7179">
              <w:rPr>
                <w:rFonts w:ascii="Times New Roman" w:hAnsi="Times New Roman" w:cs="Times New Roman"/>
                <w:b/>
                <w:bCs/>
              </w:rPr>
              <w:t>.</w:t>
            </w:r>
          </w:p>
        </w:tc>
        <w:tc>
          <w:tcPr>
            <w:tcW w:w="1559" w:type="dxa"/>
            <w:shd w:val="clear" w:color="auto" w:fill="CCCCCC"/>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rPr>
            </w:pPr>
            <w:r w:rsidRPr="004C7179">
              <w:rPr>
                <w:rFonts w:ascii="Times New Roman" w:hAnsi="Times New Roman" w:cs="Times New Roman"/>
                <w:b/>
                <w:bCs/>
              </w:rPr>
              <w:t>Макс. брой точки 30</w:t>
            </w:r>
          </w:p>
        </w:tc>
      </w:tr>
      <w:tr w:rsidR="00343C37" w:rsidRPr="00630234">
        <w:trPr>
          <w:jc w:val="center"/>
        </w:trPr>
        <w:tc>
          <w:tcPr>
            <w:tcW w:w="8642" w:type="dxa"/>
            <w:gridSpan w:val="5"/>
            <w:shd w:val="clear" w:color="auto" w:fill="CCCCCC"/>
            <w:vAlign w:val="center"/>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Разглеждат се предложенията на участниците за управление на следните </w:t>
            </w:r>
            <w:r w:rsidRPr="004C7179">
              <w:rPr>
                <w:rFonts w:ascii="Times New Roman" w:hAnsi="Times New Roman" w:cs="Times New Roman"/>
                <w:i/>
                <w:iCs/>
                <w:u w:val="single"/>
                <w:lang w:val="ru-RU"/>
              </w:rPr>
              <w:t>дефинирани от възложителя рискове</w:t>
            </w:r>
            <w:r w:rsidRPr="004C7179">
              <w:rPr>
                <w:rFonts w:ascii="Times New Roman" w:hAnsi="Times New Roman" w:cs="Times New Roman"/>
                <w:i/>
                <w:iCs/>
                <w:lang w:val="ru-RU"/>
              </w:rPr>
              <w:t>, които могат да възникнат при изпълнението на договора: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1. Времеви рискове:</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Закъснение началото на започване на работите;</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Изоставане от графика при текущото изпълнение на дейностите;</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Риск от закъснение за окончателно приключване и предаване на обекта;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2. Липса/недостатъчно съдействие и/или информация от страна на други участници в строителния процес;</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3. Липса/недостатъчна координация и сътрудничество между заинтересованите страни в рамките на проекта.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4. Промени в законодателството на България или на ЕС; </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5. Неизпълнение на договорни задължения, в това число забава на плащанията по договора от Страна на Възложителя;</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6. Трудности при изпълнението на проекта, продиктувани от непълноти и/или неточности в проектната документация.</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Офертите на участниците, които отговарят на изисквания на възложителя се подлагат на анализ и се оценяват по следните критерии:</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lang w:val="ru-RU"/>
              </w:rPr>
            </w:pPr>
          </w:p>
        </w:tc>
        <w:tc>
          <w:tcPr>
            <w:tcW w:w="1559" w:type="dxa"/>
            <w:shd w:val="clear" w:color="auto" w:fill="CCCCCC"/>
            <w:vAlign w:val="center"/>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lang w:val="ru-RU"/>
              </w:rPr>
            </w:pPr>
          </w:p>
        </w:tc>
      </w:tr>
      <w:tr w:rsidR="00343C37" w:rsidRPr="00630234">
        <w:trPr>
          <w:jc w:val="center"/>
        </w:trPr>
        <w:tc>
          <w:tcPr>
            <w:tcW w:w="3085" w:type="dxa"/>
            <w:gridSpan w:val="2"/>
            <w:vMerge w:val="restart"/>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Фактори, влияещи на оценката: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Разгледани аспекти и сфери на влияние на описаните рискове;</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Мерки за въздействие върху изпълнението на договора при възникването на риска;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Мерки за недопускане/ предотвратяване на риска;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 Мерки за преодоляване на последиците при настъпване на риска. </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lastRenderedPageBreak/>
              <w:t>„Ясно“- посочване на отделните етапи и видове СМР. Следва да се разбира изброяване, което недвусмислено посочва конкретния етап, конкретния вид СМР и по начин, по който същият да бъде индивидуализиран с предвидените в количествената сметка конкретни видове СМР;</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„Подробно“- описанието, което освен, че съдържа отделни етапи, видове СМР 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tc>
        <w:tc>
          <w:tcPr>
            <w:tcW w:w="5557" w:type="dxa"/>
            <w:gridSpan w:val="3"/>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i/>
                <w:iCs/>
                <w:lang w:val="ru-RU"/>
              </w:rPr>
            </w:pPr>
            <w:r w:rsidRPr="004C7179">
              <w:rPr>
                <w:rFonts w:ascii="Times New Roman" w:hAnsi="Times New Roman" w:cs="Times New Roman"/>
                <w:b/>
                <w:bCs/>
                <w:i/>
                <w:iCs/>
                <w:lang w:val="ru-RU"/>
              </w:rPr>
              <w:lastRenderedPageBreak/>
              <w:t>В техническото предложение е обърнато задълбочено внимание на всеки един от рисковете, и е в сила всяко едно от следните обстоятелства: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 Участникът е отчел възможните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w:t>
            </w:r>
            <w:r w:rsidRPr="004C7179">
              <w:rPr>
                <w:rFonts w:ascii="Times New Roman" w:hAnsi="Times New Roman" w:cs="Times New Roman"/>
                <w:i/>
                <w:iCs/>
                <w:lang w:val="ru-RU"/>
              </w:rPr>
              <w:lastRenderedPageBreak/>
              <w:t>дейностите по договора, като е предложил ефикасни и адекватни мерки;</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Участникът е предложил мерки за предотвратяване и/или управление на дефинираните аспекти от риска, включително и алтернативни. Планирани са конкретни, относими и адекватни похвати,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r w:rsidRPr="004C7179">
              <w:rPr>
                <w:rFonts w:ascii="Times New Roman" w:hAnsi="Times New Roman" w:cs="Times New Roman"/>
                <w:b/>
                <w:bCs/>
                <w:i/>
                <w:iCs/>
                <w:lang w:val="ru-RU"/>
              </w:rPr>
              <w:t>.</w:t>
            </w:r>
          </w:p>
        </w:tc>
        <w:tc>
          <w:tcPr>
            <w:tcW w:w="1559" w:type="dxa"/>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r w:rsidRPr="004C7179">
              <w:rPr>
                <w:rFonts w:ascii="Times New Roman" w:hAnsi="Times New Roman" w:cs="Times New Roman"/>
                <w:i/>
                <w:iCs/>
              </w:rPr>
              <w:lastRenderedPageBreak/>
              <w:t>30 точки.</w:t>
            </w:r>
          </w:p>
        </w:tc>
      </w:tr>
      <w:tr w:rsidR="00343C37" w:rsidRPr="00630234">
        <w:trPr>
          <w:trHeight w:val="2461"/>
          <w:jc w:val="center"/>
        </w:trPr>
        <w:tc>
          <w:tcPr>
            <w:tcW w:w="3085" w:type="dxa"/>
            <w:gridSpan w:val="2"/>
            <w:vMerge/>
            <w:vAlign w:val="center"/>
          </w:tcPr>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rPr>
            </w:pPr>
          </w:p>
        </w:tc>
        <w:tc>
          <w:tcPr>
            <w:tcW w:w="5557" w:type="dxa"/>
            <w:gridSpan w:val="3"/>
          </w:tcPr>
          <w:p w:rsidR="00343C37" w:rsidRPr="004C7179" w:rsidRDefault="00343C37" w:rsidP="004C7179">
            <w:pPr>
              <w:widowControl w:val="0"/>
              <w:autoSpaceDE w:val="0"/>
              <w:autoSpaceDN w:val="0"/>
              <w:adjustRightInd w:val="0"/>
              <w:spacing w:after="0" w:line="240" w:lineRule="auto"/>
              <w:rPr>
                <w:rFonts w:ascii="Times New Roman" w:hAnsi="Times New Roman" w:cs="Times New Roman"/>
                <w:b/>
                <w:bCs/>
                <w:i/>
                <w:iCs/>
                <w:lang w:val="ru-RU"/>
              </w:rPr>
            </w:pPr>
            <w:r w:rsidRPr="004C7179">
              <w:rPr>
                <w:rFonts w:ascii="Times New Roman" w:hAnsi="Times New Roman" w:cs="Times New Roman"/>
                <w:b/>
                <w:bCs/>
                <w:i/>
                <w:iCs/>
                <w:lang w:val="ru-RU"/>
              </w:rPr>
              <w:t>В техническата оферта е обърнато внимание на всеки един от рисковете, но е в сила поне едно от следното:</w:t>
            </w:r>
          </w:p>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lang w:val="ru-RU"/>
              </w:rPr>
            </w:pPr>
            <w:r w:rsidRPr="004C7179">
              <w:rPr>
                <w:rFonts w:ascii="Times New Roman" w:hAnsi="Times New Roman" w:cs="Times New Roman"/>
                <w:i/>
                <w:iCs/>
                <w:lang w:val="ru-RU"/>
              </w:rPr>
              <w:t>-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и недостатъчно конкретно описани и оценени.</w:t>
            </w:r>
          </w:p>
          <w:p w:rsidR="00343C37" w:rsidRPr="004C7179" w:rsidRDefault="00343C37" w:rsidP="004C7179">
            <w:pPr>
              <w:spacing w:after="0" w:line="240" w:lineRule="auto"/>
              <w:rPr>
                <w:rFonts w:ascii="Times New Roman" w:hAnsi="Times New Roman" w:cs="Times New Roman"/>
                <w:i/>
                <w:iCs/>
                <w:lang w:val="ru-RU" w:eastAsia="en-US"/>
              </w:rPr>
            </w:pPr>
            <w:r w:rsidRPr="004C7179">
              <w:rPr>
                <w:rFonts w:ascii="Times New Roman" w:hAnsi="Times New Roman" w:cs="Times New Roman"/>
                <w:i/>
                <w:iCs/>
                <w:lang w:val="ru-RU" w:eastAsia="en-US"/>
              </w:rPr>
              <w:t>-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tc>
        <w:tc>
          <w:tcPr>
            <w:tcW w:w="1559" w:type="dxa"/>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r w:rsidRPr="004C7179">
              <w:rPr>
                <w:rFonts w:ascii="Times New Roman" w:hAnsi="Times New Roman" w:cs="Times New Roman"/>
                <w:i/>
                <w:iCs/>
              </w:rPr>
              <w:t>15 точки.</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tc>
      </w:tr>
      <w:tr w:rsidR="00343C37" w:rsidRPr="00630234">
        <w:trPr>
          <w:jc w:val="center"/>
        </w:trPr>
        <w:tc>
          <w:tcPr>
            <w:tcW w:w="3085" w:type="dxa"/>
            <w:gridSpan w:val="2"/>
            <w:vMerge/>
            <w:vAlign w:val="center"/>
          </w:tcPr>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rPr>
            </w:pPr>
          </w:p>
        </w:tc>
        <w:tc>
          <w:tcPr>
            <w:tcW w:w="5557" w:type="dxa"/>
            <w:gridSpan w:val="3"/>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i/>
                <w:iCs/>
                <w:lang w:val="ru-RU"/>
              </w:rPr>
            </w:pPr>
            <w:r w:rsidRPr="004C7179">
              <w:rPr>
                <w:rFonts w:ascii="Times New Roman" w:hAnsi="Times New Roman" w:cs="Times New Roman"/>
                <w:b/>
                <w:bCs/>
                <w:i/>
                <w:iCs/>
                <w:lang w:val="ru-RU"/>
              </w:rPr>
              <w:t>В техническата оферта е покрит изискания от Възложителя минимум, но е в сила поне едно от следните обстоятелства: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По отношение на мерките за предотвратяване/преодоляване/управление на един или няколко от посочените рискове,  участникът единствено декларира готовност на свой риск да приеме последиците при възникването на описаните рискове;</w:t>
            </w:r>
          </w:p>
        </w:tc>
        <w:tc>
          <w:tcPr>
            <w:tcW w:w="1559" w:type="dxa"/>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r w:rsidRPr="004C7179">
              <w:rPr>
                <w:rFonts w:ascii="Times New Roman" w:hAnsi="Times New Roman" w:cs="Times New Roman"/>
                <w:i/>
                <w:iCs/>
              </w:rPr>
              <w:t xml:space="preserve">1 точка. </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tc>
      </w:tr>
      <w:tr w:rsidR="00343C37" w:rsidRPr="00630234">
        <w:trPr>
          <w:jc w:val="center"/>
        </w:trPr>
        <w:tc>
          <w:tcPr>
            <w:tcW w:w="8642" w:type="dxa"/>
            <w:gridSpan w:val="5"/>
            <w:shd w:val="clear" w:color="auto" w:fill="C0C0C0"/>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b/>
                <w:bCs/>
                <w:i/>
                <w:iCs/>
                <w:lang w:val="ru-RU"/>
              </w:rPr>
            </w:pPr>
            <w:r w:rsidRPr="004C7179">
              <w:rPr>
                <w:rFonts w:ascii="Times New Roman" w:hAnsi="Times New Roman" w:cs="Times New Roman"/>
                <w:b/>
                <w:bCs/>
                <w:i/>
                <w:iCs/>
                <w:lang w:val="ru-RU"/>
              </w:rPr>
              <w:t>В. МЕРКИ ЗА НАМАЛЯВАНЕ НА ЗАТРУДНЕНИЯТА ЗА МЕСТНОТО НАСЕЛЕНИЕ ПРИ СМР.</w:t>
            </w:r>
          </w:p>
        </w:tc>
        <w:tc>
          <w:tcPr>
            <w:tcW w:w="1559" w:type="dxa"/>
            <w:shd w:val="clear" w:color="auto" w:fill="C0C0C0"/>
          </w:tcPr>
          <w:p w:rsidR="00343C37" w:rsidRPr="004C7179" w:rsidRDefault="00343C37" w:rsidP="004C7179">
            <w:pPr>
              <w:widowControl w:val="0"/>
              <w:autoSpaceDE w:val="0"/>
              <w:autoSpaceDN w:val="0"/>
              <w:adjustRightInd w:val="0"/>
              <w:spacing w:after="0" w:line="240" w:lineRule="auto"/>
              <w:ind w:left="72" w:hanging="72"/>
              <w:jc w:val="center"/>
              <w:rPr>
                <w:rFonts w:ascii="Times New Roman" w:hAnsi="Times New Roman" w:cs="Times New Roman"/>
                <w:b/>
                <w:bCs/>
              </w:rPr>
            </w:pPr>
            <w:r w:rsidRPr="004C7179">
              <w:rPr>
                <w:rFonts w:ascii="Times New Roman" w:hAnsi="Times New Roman" w:cs="Times New Roman"/>
                <w:b/>
                <w:bCs/>
              </w:rPr>
              <w:t>Макс. брой точки 20</w:t>
            </w:r>
          </w:p>
        </w:tc>
      </w:tr>
      <w:tr w:rsidR="00343C37" w:rsidRPr="00630234">
        <w:trPr>
          <w:jc w:val="center"/>
        </w:trPr>
        <w:tc>
          <w:tcPr>
            <w:tcW w:w="10201" w:type="dxa"/>
            <w:gridSpan w:val="6"/>
            <w:shd w:val="clear" w:color="auto" w:fill="BFBFBF"/>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w:t>
            </w:r>
          </w:p>
        </w:tc>
      </w:tr>
      <w:tr w:rsidR="00343C37" w:rsidRPr="00630234">
        <w:trPr>
          <w:jc w:val="center"/>
        </w:trPr>
        <w:tc>
          <w:tcPr>
            <w:tcW w:w="3652" w:type="dxa"/>
            <w:gridSpan w:val="3"/>
            <w:vMerge w:val="restart"/>
          </w:tcPr>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lang w:val="ru-RU"/>
              </w:rPr>
            </w:pPr>
            <w:r w:rsidRPr="004C7179">
              <w:rPr>
                <w:rFonts w:ascii="Times New Roman" w:hAnsi="Times New Roman" w:cs="Times New Roman"/>
                <w:i/>
                <w:iCs/>
                <w:lang w:val="ru-RU"/>
              </w:rPr>
              <w:t>Фактори, влияещи на оценката:</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lang w:val="ru-RU"/>
              </w:rPr>
            </w:pPr>
          </w:p>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lang w:val="ru-RU"/>
              </w:rPr>
            </w:pPr>
            <w:r w:rsidRPr="004C7179">
              <w:rPr>
                <w:rFonts w:ascii="Times New Roman" w:hAnsi="Times New Roman" w:cs="Times New Roman"/>
                <w:i/>
                <w:iCs/>
                <w:lang w:val="ru-RU"/>
              </w:rPr>
              <w:t xml:space="preserve">Оценяват се </w:t>
            </w:r>
          </w:p>
          <w:p w:rsidR="00343C37" w:rsidRPr="004C7179" w:rsidRDefault="00343C37" w:rsidP="004C7179">
            <w:pPr>
              <w:widowControl w:val="0"/>
              <w:numPr>
                <w:ilvl w:val="0"/>
                <w:numId w:val="2"/>
              </w:numPr>
              <w:autoSpaceDE w:val="0"/>
              <w:autoSpaceDN w:val="0"/>
              <w:adjustRightInd w:val="0"/>
              <w:spacing w:after="0" w:line="240" w:lineRule="auto"/>
              <w:rPr>
                <w:rFonts w:ascii="Times New Roman" w:hAnsi="Times New Roman" w:cs="Times New Roman"/>
                <w:i/>
                <w:iCs/>
              </w:rPr>
            </w:pPr>
            <w:r w:rsidRPr="004C7179">
              <w:rPr>
                <w:rFonts w:ascii="Times New Roman" w:hAnsi="Times New Roman" w:cs="Times New Roman"/>
                <w:i/>
                <w:iCs/>
              </w:rPr>
              <w:t>пълнотата,</w:t>
            </w:r>
          </w:p>
          <w:p w:rsidR="00343C37" w:rsidRPr="004C7179" w:rsidRDefault="00343C37" w:rsidP="004C7179">
            <w:pPr>
              <w:widowControl w:val="0"/>
              <w:numPr>
                <w:ilvl w:val="0"/>
                <w:numId w:val="2"/>
              </w:numPr>
              <w:autoSpaceDE w:val="0"/>
              <w:autoSpaceDN w:val="0"/>
              <w:adjustRightInd w:val="0"/>
              <w:spacing w:after="0" w:line="240" w:lineRule="auto"/>
              <w:rPr>
                <w:rFonts w:ascii="Times New Roman" w:hAnsi="Times New Roman" w:cs="Times New Roman"/>
                <w:i/>
                <w:iCs/>
              </w:rPr>
            </w:pPr>
            <w:r w:rsidRPr="004C7179">
              <w:rPr>
                <w:rFonts w:ascii="Times New Roman" w:hAnsi="Times New Roman" w:cs="Times New Roman"/>
                <w:i/>
                <w:iCs/>
              </w:rPr>
              <w:t xml:space="preserve">ефективността, </w:t>
            </w:r>
          </w:p>
          <w:p w:rsidR="00343C37" w:rsidRPr="004C7179" w:rsidRDefault="00343C37" w:rsidP="004C7179">
            <w:pPr>
              <w:widowControl w:val="0"/>
              <w:numPr>
                <w:ilvl w:val="0"/>
                <w:numId w:val="2"/>
              </w:numPr>
              <w:autoSpaceDE w:val="0"/>
              <w:autoSpaceDN w:val="0"/>
              <w:adjustRightInd w:val="0"/>
              <w:spacing w:after="0" w:line="240" w:lineRule="auto"/>
              <w:rPr>
                <w:rFonts w:ascii="Times New Roman" w:hAnsi="Times New Roman" w:cs="Times New Roman"/>
                <w:i/>
                <w:iCs/>
              </w:rPr>
            </w:pPr>
            <w:r w:rsidRPr="004C7179">
              <w:rPr>
                <w:rFonts w:ascii="Times New Roman" w:hAnsi="Times New Roman" w:cs="Times New Roman"/>
                <w:i/>
                <w:iCs/>
              </w:rPr>
              <w:t>приложимостта и</w:t>
            </w:r>
          </w:p>
          <w:p w:rsidR="00343C37" w:rsidRPr="004C7179" w:rsidRDefault="00343C37" w:rsidP="004C7179">
            <w:pPr>
              <w:widowControl w:val="0"/>
              <w:numPr>
                <w:ilvl w:val="0"/>
                <w:numId w:val="2"/>
              </w:numPr>
              <w:autoSpaceDE w:val="0"/>
              <w:autoSpaceDN w:val="0"/>
              <w:adjustRightInd w:val="0"/>
              <w:spacing w:after="0" w:line="240" w:lineRule="auto"/>
              <w:rPr>
                <w:rFonts w:ascii="Times New Roman" w:hAnsi="Times New Roman" w:cs="Times New Roman"/>
                <w:i/>
                <w:iCs/>
              </w:rPr>
            </w:pPr>
            <w:r w:rsidRPr="004C7179">
              <w:rPr>
                <w:rFonts w:ascii="Times New Roman" w:hAnsi="Times New Roman" w:cs="Times New Roman"/>
                <w:i/>
                <w:iCs/>
              </w:rPr>
              <w:t xml:space="preserve">целесъобразността на предложените мерки </w:t>
            </w:r>
          </w:p>
          <w:p w:rsidR="00343C37" w:rsidRPr="004C7179" w:rsidRDefault="00343C37" w:rsidP="004C7179">
            <w:pPr>
              <w:widowControl w:val="0"/>
              <w:autoSpaceDE w:val="0"/>
              <w:autoSpaceDN w:val="0"/>
              <w:adjustRightInd w:val="0"/>
              <w:spacing w:after="0" w:line="240" w:lineRule="auto"/>
              <w:ind w:left="720"/>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За целите на настоящата методика, използваните в този раздел определения следва да се тълкуват, както следва:</w:t>
            </w:r>
          </w:p>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u w:val="single"/>
                <w:lang w:val="ru-RU"/>
              </w:rPr>
            </w:pPr>
            <w:r w:rsidRPr="004C7179">
              <w:rPr>
                <w:rFonts w:ascii="Times New Roman" w:hAnsi="Times New Roman" w:cs="Times New Roman"/>
                <w:i/>
                <w:iCs/>
                <w:u w:val="single"/>
                <w:lang w:val="ru-RU"/>
              </w:rPr>
              <w:t>Ефективност:</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Комисията оценява ефективността на предвидените мерки, като съпоставя очаквания резултат спрямо поставената цел. Ефективността е свързана с целесъобразността на действията. Колкото степента на постигане на една цел е по-висока, толкова по-ефективни са действията и мероприятията. Като най - ефективни се оценяват мерки, които в най – голяма степен водят до постигане на целите (намаляване на затрудненията на местното население за периода на изпълнение на СМР) при съпоставяне на действителните и очакваните резултати от дейността.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p>
          <w:p w:rsidR="00343C37" w:rsidRPr="004C7179" w:rsidRDefault="00343C37" w:rsidP="004C7179">
            <w:pPr>
              <w:widowControl w:val="0"/>
              <w:autoSpaceDE w:val="0"/>
              <w:autoSpaceDN w:val="0"/>
              <w:adjustRightInd w:val="0"/>
              <w:spacing w:after="0" w:line="240" w:lineRule="auto"/>
              <w:rPr>
                <w:rFonts w:ascii="Times New Roman" w:hAnsi="Times New Roman" w:cs="Times New Roman"/>
                <w:i/>
                <w:iCs/>
                <w:u w:val="single"/>
                <w:lang w:val="ru-RU"/>
              </w:rPr>
            </w:pPr>
            <w:r w:rsidRPr="004C7179">
              <w:rPr>
                <w:rFonts w:ascii="Times New Roman" w:hAnsi="Times New Roman" w:cs="Times New Roman"/>
                <w:i/>
                <w:iCs/>
                <w:u w:val="single"/>
                <w:lang w:val="ru-RU"/>
              </w:rPr>
              <w:t>Приложимост:</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Приложими са мерки, които могат да бъдат осъществявани напрактика. Описаните мерки следва да могат да бъдат въплътени в реални действия за постигане на целите -намаляване на затрудненията на местното население за периода на изпълнение на СМР.</w:t>
            </w:r>
          </w:p>
          <w:p w:rsidR="00343C37" w:rsidRPr="004C7179" w:rsidRDefault="00343C37" w:rsidP="004C7179">
            <w:pPr>
              <w:widowControl w:val="0"/>
              <w:autoSpaceDE w:val="0"/>
              <w:autoSpaceDN w:val="0"/>
              <w:adjustRightInd w:val="0"/>
              <w:spacing w:after="0" w:line="240" w:lineRule="auto"/>
              <w:rPr>
                <w:rFonts w:ascii="Times New Roman" w:hAnsi="Times New Roman" w:cs="Times New Roman"/>
                <w:b/>
                <w:bCs/>
                <w:lang w:val="ru-RU"/>
              </w:rPr>
            </w:pPr>
          </w:p>
        </w:tc>
        <w:tc>
          <w:tcPr>
            <w:tcW w:w="4848" w:type="dxa"/>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i/>
                <w:iCs/>
                <w:lang w:val="ru-RU"/>
              </w:rPr>
            </w:pPr>
            <w:r w:rsidRPr="004C7179">
              <w:rPr>
                <w:rFonts w:ascii="Times New Roman" w:hAnsi="Times New Roman" w:cs="Times New Roman"/>
                <w:b/>
                <w:bCs/>
                <w:i/>
                <w:iCs/>
                <w:lang w:val="ru-RU"/>
              </w:rPr>
              <w:lastRenderedPageBreak/>
              <w:t xml:space="preserve">В техническото предложение е обърнато </w:t>
            </w:r>
            <w:r w:rsidRPr="004C7179">
              <w:rPr>
                <w:rFonts w:ascii="Times New Roman" w:hAnsi="Times New Roman" w:cs="Times New Roman"/>
                <w:b/>
                <w:bCs/>
                <w:i/>
                <w:iCs/>
                <w:lang w:val="ru-RU"/>
              </w:rPr>
              <w:lastRenderedPageBreak/>
              <w:t>внимание на всеки един от факторите, и е в сила всяко едно от следните обстоятелства: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 - Предвидени са мерки за намаляване на затрудненията по всеки един от аспектите на ежедневието</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Предвидените мерки са ефективни</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Предвидените мерки са приложими</w:t>
            </w:r>
          </w:p>
          <w:p w:rsidR="00343C37" w:rsidRPr="004C7179" w:rsidRDefault="00343C37" w:rsidP="004C7179">
            <w:pPr>
              <w:widowControl w:val="0"/>
              <w:autoSpaceDE w:val="0"/>
              <w:autoSpaceDN w:val="0"/>
              <w:adjustRightInd w:val="0"/>
              <w:spacing w:after="0" w:line="240" w:lineRule="auto"/>
              <w:ind w:left="72"/>
              <w:jc w:val="both"/>
              <w:rPr>
                <w:rFonts w:ascii="Times New Roman" w:hAnsi="Times New Roman" w:cs="Times New Roman"/>
                <w:b/>
                <w:bCs/>
                <w:lang w:val="ru-RU"/>
              </w:rPr>
            </w:pPr>
            <w:r w:rsidRPr="004C7179">
              <w:rPr>
                <w:rFonts w:ascii="Times New Roman" w:hAnsi="Times New Roman" w:cs="Times New Roman"/>
                <w:i/>
                <w:iCs/>
                <w:lang w:val="ru-RU"/>
              </w:rPr>
              <w:t>- Предвидените мерки реално гарантират намаляване затрудненията на местното население във връзка с извършваните СМР</w:t>
            </w:r>
          </w:p>
        </w:tc>
        <w:tc>
          <w:tcPr>
            <w:tcW w:w="1701" w:type="dxa"/>
            <w:gridSpan w:val="2"/>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r w:rsidRPr="004C7179">
              <w:rPr>
                <w:rFonts w:ascii="Times New Roman" w:hAnsi="Times New Roman" w:cs="Times New Roman"/>
                <w:i/>
                <w:iCs/>
              </w:rPr>
              <w:lastRenderedPageBreak/>
              <w:t>20 точки.</w:t>
            </w:r>
          </w:p>
        </w:tc>
      </w:tr>
      <w:tr w:rsidR="00343C37" w:rsidRPr="00630234">
        <w:trPr>
          <w:gridBefore w:val="1"/>
          <w:jc w:val="center"/>
        </w:trPr>
        <w:tc>
          <w:tcPr>
            <w:tcW w:w="3652" w:type="dxa"/>
            <w:gridSpan w:val="2"/>
            <w:vMerge/>
            <w:vAlign w:val="center"/>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color w:val="0000FF"/>
              </w:rPr>
            </w:pPr>
          </w:p>
        </w:tc>
        <w:tc>
          <w:tcPr>
            <w:tcW w:w="4848" w:type="dxa"/>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i/>
                <w:iCs/>
                <w:lang w:val="ru-RU"/>
              </w:rPr>
            </w:pPr>
            <w:r w:rsidRPr="004C7179">
              <w:rPr>
                <w:rFonts w:ascii="Times New Roman" w:hAnsi="Times New Roman" w:cs="Times New Roman"/>
                <w:b/>
                <w:bCs/>
                <w:i/>
                <w:iCs/>
                <w:lang w:val="ru-RU"/>
              </w:rPr>
              <w:t>В техническото предложение е обърнато внимание на всеки един от факторите, но е в сила поне едно от следните обстоятелства: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xml:space="preserve">- Предложените мерки за намаляване  затрудненията на населението при извършването на СМР са по принцип ефективни, но не са съобразени изцяло с конкретната особенност на обекта </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lang w:val="ru-RU"/>
              </w:rPr>
            </w:pPr>
            <w:r w:rsidRPr="004C7179">
              <w:rPr>
                <w:rFonts w:ascii="Times New Roman" w:hAnsi="Times New Roman" w:cs="Times New Roman"/>
                <w:i/>
                <w:iCs/>
                <w:lang w:val="ru-RU"/>
              </w:rPr>
              <w:t>- Допуснати са пропуски в предвидените мерки, по отношение тяхната реална приложимост, и съответно необосноваване разрешението на конкретно затруднение</w:t>
            </w:r>
            <w:r w:rsidRPr="004C7179">
              <w:rPr>
                <w:rFonts w:ascii="Times New Roman" w:hAnsi="Times New Roman" w:cs="Times New Roman"/>
                <w:lang w:val="ru-RU"/>
              </w:rPr>
              <w:t xml:space="preserve"> </w:t>
            </w:r>
          </w:p>
          <w:p w:rsidR="00343C37" w:rsidRPr="004C7179" w:rsidRDefault="00343C37" w:rsidP="004C7179">
            <w:pPr>
              <w:widowControl w:val="0"/>
              <w:autoSpaceDE w:val="0"/>
              <w:autoSpaceDN w:val="0"/>
              <w:adjustRightInd w:val="0"/>
              <w:spacing w:after="0" w:line="240" w:lineRule="auto"/>
              <w:ind w:left="72"/>
              <w:jc w:val="both"/>
              <w:rPr>
                <w:rFonts w:ascii="Times New Roman" w:hAnsi="Times New Roman" w:cs="Times New Roman"/>
                <w:b/>
                <w:bCs/>
                <w:lang w:val="ru-RU"/>
              </w:rPr>
            </w:pPr>
            <w:r w:rsidRPr="004C7179">
              <w:rPr>
                <w:rFonts w:ascii="Times New Roman" w:hAnsi="Times New Roman" w:cs="Times New Roman"/>
                <w:i/>
                <w:iCs/>
                <w:lang w:val="ru-RU"/>
              </w:rPr>
              <w:t xml:space="preserve">- Не са предложени мерки за намаляване затруднението на населението по </w:t>
            </w:r>
            <w:r w:rsidRPr="004C7179">
              <w:rPr>
                <w:rFonts w:ascii="Times New Roman" w:hAnsi="Times New Roman" w:cs="Times New Roman"/>
                <w:i/>
                <w:iCs/>
                <w:lang w:val="ru-RU"/>
              </w:rPr>
              <w:lastRenderedPageBreak/>
              <w:t>несъществени аспекти от ежедневието във връзка с извършваните СМР</w:t>
            </w:r>
          </w:p>
        </w:tc>
        <w:tc>
          <w:tcPr>
            <w:tcW w:w="1701" w:type="dxa"/>
            <w:gridSpan w:val="2"/>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u w:val="single"/>
              </w:rPr>
            </w:pPr>
            <w:r w:rsidRPr="004C7179">
              <w:rPr>
                <w:rFonts w:ascii="Times New Roman" w:hAnsi="Times New Roman" w:cs="Times New Roman"/>
                <w:i/>
                <w:iCs/>
              </w:rPr>
              <w:lastRenderedPageBreak/>
              <w:t>10 точки</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tc>
      </w:tr>
      <w:tr w:rsidR="00343C37" w:rsidRPr="00630234">
        <w:trPr>
          <w:gridBefore w:val="1"/>
          <w:jc w:val="center"/>
        </w:trPr>
        <w:tc>
          <w:tcPr>
            <w:tcW w:w="3652" w:type="dxa"/>
            <w:gridSpan w:val="2"/>
            <w:vMerge/>
            <w:vAlign w:val="center"/>
          </w:tcPr>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b/>
                <w:bCs/>
                <w:color w:val="0000FF"/>
              </w:rPr>
            </w:pPr>
          </w:p>
        </w:tc>
        <w:tc>
          <w:tcPr>
            <w:tcW w:w="4848" w:type="dxa"/>
          </w:tcPr>
          <w:p w:rsidR="00343C37" w:rsidRPr="004C7179" w:rsidRDefault="00343C37" w:rsidP="004C7179">
            <w:pPr>
              <w:widowControl w:val="0"/>
              <w:autoSpaceDE w:val="0"/>
              <w:autoSpaceDN w:val="0"/>
              <w:adjustRightInd w:val="0"/>
              <w:spacing w:after="0" w:line="240" w:lineRule="auto"/>
              <w:rPr>
                <w:rFonts w:ascii="Times New Roman" w:hAnsi="Times New Roman" w:cs="Times New Roman"/>
                <w:b/>
                <w:bCs/>
                <w:i/>
                <w:iCs/>
                <w:lang w:val="ru-RU"/>
              </w:rPr>
            </w:pPr>
            <w:r w:rsidRPr="004C7179">
              <w:rPr>
                <w:rFonts w:ascii="Times New Roman" w:hAnsi="Times New Roman" w:cs="Times New Roman"/>
                <w:b/>
                <w:bCs/>
                <w:i/>
                <w:iCs/>
                <w:lang w:val="ru-RU"/>
              </w:rPr>
              <w:t>В техническото предложение е в сила поне едно от следните обстоятелства: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Предложената временна организация на движение не е съобразена със спецификата на обекта и съответно не е ефективна</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Една или повече от посочените мерки за намаляване на затрудненията е посочена описателно с предвидени дейности по приложението и в пожелателен вид, без самите дейности да гарантират реализиране на нейната цел</w:t>
            </w:r>
          </w:p>
          <w:p w:rsidR="00343C37" w:rsidRPr="004C7179" w:rsidRDefault="00343C37" w:rsidP="004C7179">
            <w:pPr>
              <w:widowControl w:val="0"/>
              <w:autoSpaceDE w:val="0"/>
              <w:autoSpaceDN w:val="0"/>
              <w:adjustRightInd w:val="0"/>
              <w:spacing w:after="0" w:line="240" w:lineRule="auto"/>
              <w:jc w:val="both"/>
              <w:rPr>
                <w:rFonts w:ascii="Times New Roman" w:hAnsi="Times New Roman" w:cs="Times New Roman"/>
                <w:i/>
                <w:iCs/>
                <w:lang w:val="ru-RU"/>
              </w:rPr>
            </w:pPr>
            <w:r w:rsidRPr="004C7179">
              <w:rPr>
                <w:rFonts w:ascii="Times New Roman" w:hAnsi="Times New Roman" w:cs="Times New Roman"/>
                <w:i/>
                <w:iCs/>
                <w:lang w:val="ru-RU"/>
              </w:rPr>
              <w:t>- Не са предложени мерки за намаляване затруднението на населението по съществени аспекти от ежедневието във връзка с извършваните СМР</w:t>
            </w:r>
          </w:p>
        </w:tc>
        <w:tc>
          <w:tcPr>
            <w:tcW w:w="1701" w:type="dxa"/>
            <w:gridSpan w:val="2"/>
          </w:tcPr>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r w:rsidRPr="004C7179">
              <w:rPr>
                <w:rFonts w:ascii="Times New Roman" w:hAnsi="Times New Roman" w:cs="Times New Roman"/>
                <w:i/>
                <w:iCs/>
              </w:rPr>
              <w:t>1 точка</w:t>
            </w: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p w:rsidR="00343C37" w:rsidRPr="004C7179" w:rsidRDefault="00343C37" w:rsidP="004C7179">
            <w:pPr>
              <w:widowControl w:val="0"/>
              <w:autoSpaceDE w:val="0"/>
              <w:autoSpaceDN w:val="0"/>
              <w:adjustRightInd w:val="0"/>
              <w:spacing w:after="0" w:line="240" w:lineRule="auto"/>
              <w:jc w:val="center"/>
              <w:rPr>
                <w:rFonts w:ascii="Times New Roman" w:hAnsi="Times New Roman" w:cs="Times New Roman"/>
                <w:i/>
                <w:iCs/>
              </w:rPr>
            </w:pPr>
          </w:p>
        </w:tc>
      </w:tr>
    </w:tbl>
    <w:p w:rsidR="00343C37" w:rsidRPr="004C7179" w:rsidRDefault="00343C37" w:rsidP="004C7179">
      <w:pPr>
        <w:autoSpaceDE w:val="0"/>
        <w:autoSpaceDN w:val="0"/>
        <w:adjustRightInd w:val="0"/>
        <w:spacing w:after="0" w:line="240" w:lineRule="auto"/>
        <w:ind w:left="571"/>
        <w:rPr>
          <w:rFonts w:ascii="Times New Roman" w:hAnsi="Times New Roman" w:cs="Times New Roman"/>
          <w:b/>
          <w:bCs/>
          <w:lang w:val="en-US"/>
        </w:rPr>
      </w:pPr>
    </w:p>
    <w:p w:rsidR="00343C37" w:rsidRDefault="00343C37" w:rsidP="004C7179">
      <w:pPr>
        <w:autoSpaceDE w:val="0"/>
        <w:autoSpaceDN w:val="0"/>
        <w:adjustRightInd w:val="0"/>
        <w:spacing w:after="0" w:line="240" w:lineRule="auto"/>
        <w:ind w:left="571"/>
        <w:rPr>
          <w:rFonts w:ascii="Times New Roman" w:hAnsi="Times New Roman" w:cs="Times New Roman"/>
          <w:b/>
          <w:bCs/>
          <w:lang w:val="en-US"/>
        </w:rPr>
      </w:pPr>
      <w:r w:rsidRPr="004C7179">
        <w:rPr>
          <w:rFonts w:ascii="Times New Roman" w:hAnsi="Times New Roman" w:cs="Times New Roman"/>
          <w:b/>
          <w:bCs/>
        </w:rPr>
        <w:t>5.        Показател „</w:t>
      </w:r>
      <w:r w:rsidR="006D24CF">
        <w:rPr>
          <w:rFonts w:ascii="Times New Roman" w:hAnsi="Times New Roman" w:cs="Times New Roman"/>
          <w:b/>
          <w:bCs/>
        </w:rPr>
        <w:t>ЦЕНОВО ПРЕДЛОЖЕНИЕ</w:t>
      </w:r>
      <w:r w:rsidRPr="004C7179">
        <w:rPr>
          <w:rFonts w:ascii="Times New Roman" w:hAnsi="Times New Roman" w:cs="Times New Roman"/>
          <w:b/>
          <w:bCs/>
        </w:rPr>
        <w:t>" - П3</w:t>
      </w:r>
    </w:p>
    <w:p w:rsidR="00CF5809" w:rsidRPr="00CF5809" w:rsidRDefault="00CF5809" w:rsidP="004C7179">
      <w:pPr>
        <w:autoSpaceDE w:val="0"/>
        <w:autoSpaceDN w:val="0"/>
        <w:adjustRightInd w:val="0"/>
        <w:spacing w:after="0" w:line="240" w:lineRule="auto"/>
        <w:ind w:left="571"/>
        <w:rPr>
          <w:rFonts w:ascii="Times New Roman" w:hAnsi="Times New Roman" w:cs="Times New Roman"/>
          <w:b/>
          <w:bCs/>
          <w:lang w:val="en-US"/>
        </w:rPr>
      </w:pPr>
    </w:p>
    <w:p w:rsidR="00343C37" w:rsidRPr="004C7179" w:rsidRDefault="00343C37" w:rsidP="004C7179">
      <w:pPr>
        <w:autoSpaceDE w:val="0"/>
        <w:autoSpaceDN w:val="0"/>
        <w:adjustRightInd w:val="0"/>
        <w:spacing w:after="0" w:line="240" w:lineRule="auto"/>
        <w:ind w:right="5" w:firstLine="571"/>
        <w:jc w:val="both"/>
        <w:rPr>
          <w:rFonts w:ascii="Times New Roman" w:hAnsi="Times New Roman" w:cs="Times New Roman"/>
        </w:rPr>
      </w:pPr>
      <w:r w:rsidRPr="004C7179">
        <w:rPr>
          <w:rFonts w:ascii="Times New Roman" w:hAnsi="Times New Roman" w:cs="Times New Roman"/>
        </w:rPr>
        <w:t>Оценява се предложената от участника обща цена за изпълнение на поръчката 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 Относителната тежест на показателя в комплексната оценка е 50 %. Оценките на офертите по показателя се изчисляват по формулата:</w:t>
      </w:r>
    </w:p>
    <w:p w:rsidR="00343C37" w:rsidRPr="004C7179" w:rsidRDefault="00343C37" w:rsidP="004C7179">
      <w:pPr>
        <w:autoSpaceDE w:val="0"/>
        <w:autoSpaceDN w:val="0"/>
        <w:adjustRightInd w:val="0"/>
        <w:spacing w:after="0" w:line="240" w:lineRule="auto"/>
        <w:ind w:left="571"/>
        <w:rPr>
          <w:rFonts w:ascii="Times New Roman" w:hAnsi="Times New Roman" w:cs="Times New Roman"/>
          <w:sz w:val="20"/>
          <w:szCs w:val="20"/>
        </w:rPr>
      </w:pPr>
    </w:p>
    <w:p w:rsidR="00CF5809" w:rsidRPr="00CF5809" w:rsidRDefault="00CF5809" w:rsidP="00CF5809">
      <w:pPr>
        <w:widowControl w:val="0"/>
        <w:autoSpaceDE w:val="0"/>
        <w:autoSpaceDN w:val="0"/>
        <w:adjustRightInd w:val="0"/>
        <w:spacing w:after="0" w:line="240" w:lineRule="auto"/>
        <w:ind w:right="-2" w:firstLine="540"/>
        <w:jc w:val="both"/>
        <w:rPr>
          <w:rFonts w:ascii="Times New Roman" w:eastAsia="Batang" w:hAnsi="Times New Roman" w:cs="Times New Roman"/>
          <w:b/>
          <w:lang w:eastAsia="ko-KR"/>
        </w:rPr>
      </w:pPr>
      <w:r w:rsidRPr="00CF5809">
        <w:rPr>
          <w:rFonts w:ascii="Times New Roman" w:eastAsia="Batang" w:hAnsi="Times New Roman" w:cs="Times New Roman"/>
          <w:b/>
          <w:lang w:eastAsia="ko-KR"/>
        </w:rPr>
        <w:t>П3 = (Цmin / Цi) х 100 = .......... (брой точки)</w:t>
      </w:r>
    </w:p>
    <w:p w:rsidR="00343C37" w:rsidRPr="004C7179" w:rsidRDefault="00343C37" w:rsidP="004C7179">
      <w:pPr>
        <w:autoSpaceDE w:val="0"/>
        <w:autoSpaceDN w:val="0"/>
        <w:adjustRightInd w:val="0"/>
        <w:spacing w:after="0" w:line="240" w:lineRule="auto"/>
        <w:ind w:firstLine="557"/>
        <w:jc w:val="both"/>
        <w:rPr>
          <w:rFonts w:ascii="Times New Roman" w:hAnsi="Times New Roman" w:cs="Times New Roman"/>
          <w:sz w:val="20"/>
          <w:szCs w:val="20"/>
        </w:rPr>
      </w:pPr>
    </w:p>
    <w:p w:rsidR="00343C37" w:rsidRPr="004C7179" w:rsidRDefault="00343C37" w:rsidP="004C7179">
      <w:pPr>
        <w:autoSpaceDE w:val="0"/>
        <w:autoSpaceDN w:val="0"/>
        <w:adjustRightInd w:val="0"/>
        <w:spacing w:after="0" w:line="240" w:lineRule="auto"/>
        <w:ind w:firstLine="557"/>
        <w:jc w:val="both"/>
        <w:rPr>
          <w:rFonts w:ascii="Times New Roman" w:hAnsi="Times New Roman" w:cs="Times New Roman"/>
        </w:rPr>
      </w:pPr>
      <w:r w:rsidRPr="004C7179">
        <w:rPr>
          <w:rFonts w:ascii="Times New Roman" w:hAnsi="Times New Roman" w:cs="Times New Roman"/>
        </w:rPr>
        <w:t xml:space="preserve">Където </w:t>
      </w:r>
      <w:r w:rsidR="00CF5809" w:rsidRPr="00CF5809">
        <w:rPr>
          <w:rFonts w:ascii="Times New Roman" w:eastAsia="Batang" w:hAnsi="Times New Roman" w:cs="Times New Roman"/>
          <w:b/>
          <w:lang w:eastAsia="ko-KR"/>
        </w:rPr>
        <w:t>Цi</w:t>
      </w:r>
      <w:r w:rsidR="00CF5809" w:rsidRPr="00CF5809">
        <w:rPr>
          <w:rFonts w:ascii="Times New Roman" w:eastAsia="Batang" w:hAnsi="Times New Roman" w:cs="Times New Roman"/>
          <w:sz w:val="20"/>
          <w:szCs w:val="20"/>
          <w:lang w:eastAsia="ko-KR"/>
        </w:rPr>
        <w:t xml:space="preserve"> </w:t>
      </w:r>
      <w:r w:rsidRPr="004C7179">
        <w:rPr>
          <w:rFonts w:ascii="Times New Roman" w:hAnsi="Times New Roman" w:cs="Times New Roman"/>
        </w:rPr>
        <w:t>е предложената обща цена, без включени непредвидени разходи за СМР, в лева без ДДС съгласно Ценовото предложение на съответния участник.</w:t>
      </w:r>
    </w:p>
    <w:p w:rsidR="00343C37" w:rsidRPr="004C7179" w:rsidRDefault="00343C37" w:rsidP="004C7179">
      <w:pPr>
        <w:autoSpaceDE w:val="0"/>
        <w:autoSpaceDN w:val="0"/>
        <w:adjustRightInd w:val="0"/>
        <w:spacing w:after="0" w:line="240" w:lineRule="auto"/>
        <w:ind w:firstLine="562"/>
        <w:jc w:val="both"/>
        <w:rPr>
          <w:rFonts w:ascii="Times New Roman" w:hAnsi="Times New Roman" w:cs="Times New Roman"/>
        </w:rPr>
      </w:pPr>
      <w:r w:rsidRPr="004C7179">
        <w:rPr>
          <w:rFonts w:ascii="Times New Roman" w:hAnsi="Times New Roman" w:cs="Times New Roman"/>
        </w:rPr>
        <w:t>Където</w:t>
      </w:r>
      <w:r w:rsidR="00CF5809" w:rsidRPr="00CF5809">
        <w:rPr>
          <w:rFonts w:ascii="Times New Roman" w:eastAsia="Batang" w:hAnsi="Times New Roman" w:cs="Times New Roman"/>
          <w:b/>
          <w:sz w:val="20"/>
          <w:szCs w:val="20"/>
        </w:rPr>
        <w:t xml:space="preserve"> </w:t>
      </w:r>
      <w:r w:rsidR="00CF5809" w:rsidRPr="00CF5809">
        <w:rPr>
          <w:rFonts w:ascii="Times New Roman" w:eastAsia="Batang" w:hAnsi="Times New Roman" w:cs="Times New Roman"/>
          <w:b/>
        </w:rPr>
        <w:t>Цmin</w:t>
      </w:r>
      <w:r w:rsidR="00CF5809" w:rsidRPr="004C7179">
        <w:rPr>
          <w:rFonts w:ascii="Times New Roman" w:hAnsi="Times New Roman" w:cs="Times New Roman"/>
        </w:rPr>
        <w:t xml:space="preserve"> </w:t>
      </w:r>
      <w:r w:rsidRPr="004C7179">
        <w:rPr>
          <w:rFonts w:ascii="Times New Roman" w:hAnsi="Times New Roman" w:cs="Times New Roman"/>
        </w:rPr>
        <w:t>е минималната предложена обща цена, без включени непредвидени разходи за СМР, в лева без ДДС съгласно Ценовите предложения на всички участници.</w:t>
      </w:r>
    </w:p>
    <w:p w:rsidR="00343C37" w:rsidRPr="004C7179" w:rsidRDefault="00343C37" w:rsidP="004C7179">
      <w:pPr>
        <w:autoSpaceDE w:val="0"/>
        <w:autoSpaceDN w:val="0"/>
        <w:adjustRightInd w:val="0"/>
        <w:spacing w:after="0" w:line="240" w:lineRule="auto"/>
        <w:ind w:firstLine="562"/>
        <w:jc w:val="both"/>
        <w:rPr>
          <w:rFonts w:ascii="Times New Roman" w:hAnsi="Times New Roman" w:cs="Times New Roman"/>
        </w:rPr>
      </w:pPr>
    </w:p>
    <w:p w:rsidR="00343C37" w:rsidRPr="004C7179" w:rsidRDefault="00343C37" w:rsidP="004C7179">
      <w:pPr>
        <w:autoSpaceDE w:val="0"/>
        <w:autoSpaceDN w:val="0"/>
        <w:adjustRightInd w:val="0"/>
        <w:spacing w:after="0" w:line="240" w:lineRule="auto"/>
        <w:ind w:firstLine="562"/>
        <w:jc w:val="both"/>
        <w:rPr>
          <w:rFonts w:ascii="Times New Roman" w:hAnsi="Times New Roman" w:cs="Times New Roman"/>
        </w:rPr>
      </w:pPr>
    </w:p>
    <w:p w:rsidR="00343C37" w:rsidRPr="004C7179" w:rsidRDefault="00343C37" w:rsidP="004C7179">
      <w:pPr>
        <w:autoSpaceDE w:val="0"/>
        <w:autoSpaceDN w:val="0"/>
        <w:adjustRightInd w:val="0"/>
        <w:spacing w:after="0" w:line="240" w:lineRule="auto"/>
        <w:ind w:firstLine="562"/>
        <w:jc w:val="both"/>
        <w:rPr>
          <w:rFonts w:ascii="Times New Roman" w:hAnsi="Times New Roman" w:cs="Times New Roman"/>
        </w:rPr>
      </w:pPr>
      <w:bookmarkStart w:id="0" w:name="_GoBack"/>
      <w:bookmarkEnd w:id="0"/>
    </w:p>
    <w:p w:rsidR="00343C37" w:rsidRPr="004C7179" w:rsidRDefault="00343C37" w:rsidP="004C7179">
      <w:pPr>
        <w:autoSpaceDE w:val="0"/>
        <w:autoSpaceDN w:val="0"/>
        <w:adjustRightInd w:val="0"/>
        <w:spacing w:after="0" w:line="240" w:lineRule="auto"/>
        <w:jc w:val="both"/>
        <w:rPr>
          <w:rFonts w:ascii="Times New Roman" w:hAnsi="Times New Roman" w:cs="Times New Roman"/>
          <w:b/>
          <w:bCs/>
          <w:lang w:val="ru-RU"/>
        </w:rPr>
      </w:pPr>
    </w:p>
    <w:p w:rsidR="00343C37" w:rsidRPr="004C7179" w:rsidRDefault="00343C37" w:rsidP="004C7179">
      <w:pPr>
        <w:widowControl w:val="0"/>
        <w:tabs>
          <w:tab w:val="left" w:pos="0"/>
        </w:tabs>
        <w:autoSpaceDE w:val="0"/>
        <w:autoSpaceDN w:val="0"/>
        <w:adjustRightInd w:val="0"/>
        <w:spacing w:after="0" w:line="240" w:lineRule="auto"/>
        <w:jc w:val="both"/>
        <w:rPr>
          <w:rFonts w:ascii="Times New Roman" w:hAnsi="Times New Roman" w:cs="Times New Roman"/>
          <w:b/>
          <w:bCs/>
        </w:rPr>
      </w:pPr>
    </w:p>
    <w:p w:rsidR="00343C37" w:rsidRPr="004C7179" w:rsidRDefault="00343C37" w:rsidP="004C7179">
      <w:pPr>
        <w:widowControl w:val="0"/>
        <w:tabs>
          <w:tab w:val="left" w:pos="0"/>
        </w:tabs>
        <w:autoSpaceDE w:val="0"/>
        <w:autoSpaceDN w:val="0"/>
        <w:adjustRightInd w:val="0"/>
        <w:spacing w:after="0" w:line="240" w:lineRule="auto"/>
        <w:jc w:val="both"/>
        <w:rPr>
          <w:rFonts w:ascii="Times New Roman" w:hAnsi="Times New Roman" w:cs="Times New Roman"/>
          <w:b/>
          <w:bCs/>
        </w:rPr>
      </w:pPr>
    </w:p>
    <w:p w:rsidR="00343C37" w:rsidRDefault="00343C37"/>
    <w:sectPr w:rsidR="00343C37" w:rsidSect="004C7179">
      <w:footerReference w:type="default" r:id="rId8"/>
      <w:pgSz w:w="11906" w:h="16838"/>
      <w:pgMar w:top="820" w:right="1417" w:bottom="1417" w:left="1417" w:header="4" w:footer="430"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C8" w:rsidRDefault="003F7AC8" w:rsidP="004C7179">
      <w:pPr>
        <w:spacing w:after="0" w:line="240" w:lineRule="auto"/>
      </w:pPr>
      <w:r>
        <w:separator/>
      </w:r>
    </w:p>
  </w:endnote>
  <w:endnote w:type="continuationSeparator" w:id="0">
    <w:p w:rsidR="003F7AC8" w:rsidRDefault="003F7AC8" w:rsidP="004C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37" w:rsidRDefault="009D4898">
    <w:pPr>
      <w:pStyle w:val="a5"/>
      <w:jc w:val="center"/>
    </w:pPr>
    <w:r>
      <w:fldChar w:fldCharType="begin"/>
    </w:r>
    <w:r>
      <w:instrText>PAGE   \* MERGEFORMAT</w:instrText>
    </w:r>
    <w:r>
      <w:fldChar w:fldCharType="separate"/>
    </w:r>
    <w:r w:rsidR="00CF5809">
      <w:rPr>
        <w:noProof/>
      </w:rPr>
      <w:t>30</w:t>
    </w:r>
    <w:r>
      <w:rPr>
        <w:noProof/>
      </w:rPr>
      <w:fldChar w:fldCharType="end"/>
    </w:r>
  </w:p>
  <w:p w:rsidR="00343C37" w:rsidRDefault="00343C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C8" w:rsidRDefault="003F7AC8" w:rsidP="004C7179">
      <w:pPr>
        <w:spacing w:after="0" w:line="240" w:lineRule="auto"/>
      </w:pPr>
      <w:r>
        <w:separator/>
      </w:r>
    </w:p>
  </w:footnote>
  <w:footnote w:type="continuationSeparator" w:id="0">
    <w:p w:rsidR="003F7AC8" w:rsidRDefault="003F7AC8" w:rsidP="004C7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6D0"/>
    <w:multiLevelType w:val="hybridMultilevel"/>
    <w:tmpl w:val="7CBA6AB6"/>
    <w:lvl w:ilvl="0" w:tplc="04020001">
      <w:start w:val="1"/>
      <w:numFmt w:val="decimal"/>
      <w:lvlText w:val="%1."/>
      <w:lvlJc w:val="left"/>
      <w:pPr>
        <w:tabs>
          <w:tab w:val="num" w:pos="1070"/>
        </w:tabs>
        <w:ind w:left="1070" w:hanging="360"/>
      </w:pPr>
      <w:rPr>
        <w:rFonts w:ascii="Times New Roman" w:eastAsia="Times New Roman" w:hAnsi="Times New Roman"/>
      </w:rPr>
    </w:lvl>
    <w:lvl w:ilvl="1" w:tplc="B3F6981A">
      <w:start w:val="1"/>
      <w:numFmt w:val="decimal"/>
      <w:lvlText w:val="%2."/>
      <w:lvlJc w:val="left"/>
      <w:pPr>
        <w:tabs>
          <w:tab w:val="num" w:pos="1440"/>
        </w:tabs>
        <w:ind w:left="1440" w:hanging="360"/>
      </w:pPr>
      <w:rPr>
        <w:b/>
        <w:bCs/>
        <w:sz w:val="24"/>
        <w:szCs w:val="24"/>
      </w:rPr>
    </w:lvl>
    <w:lvl w:ilvl="2" w:tplc="04020005">
      <w:start w:val="1"/>
      <w:numFmt w:val="decimal"/>
      <w:lvlText w:val="%3."/>
      <w:lvlJc w:val="left"/>
      <w:pPr>
        <w:tabs>
          <w:tab w:val="num" w:pos="2160"/>
        </w:tabs>
        <w:ind w:left="2160" w:hanging="360"/>
      </w:pPr>
    </w:lvl>
    <w:lvl w:ilvl="3" w:tplc="50F2BD8A">
      <w:start w:val="1"/>
      <w:numFmt w:val="decimal"/>
      <w:lvlText w:val="%4."/>
      <w:lvlJc w:val="left"/>
      <w:pPr>
        <w:tabs>
          <w:tab w:val="num" w:pos="2880"/>
        </w:tabs>
        <w:ind w:left="2880" w:hanging="360"/>
      </w:pPr>
      <w:rPr>
        <w:b/>
        <w:bCs/>
      </w:r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56804285"/>
    <w:multiLevelType w:val="hybridMultilevel"/>
    <w:tmpl w:val="1CB6D122"/>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498" w:hanging="360"/>
      </w:pPr>
      <w:rPr>
        <w:rFonts w:ascii="Courier New" w:hAnsi="Courier New" w:cs="Courier New" w:hint="default"/>
      </w:rPr>
    </w:lvl>
    <w:lvl w:ilvl="2" w:tplc="04020005">
      <w:start w:val="1"/>
      <w:numFmt w:val="bullet"/>
      <w:lvlText w:val=""/>
      <w:lvlJc w:val="left"/>
      <w:pPr>
        <w:ind w:left="2218" w:hanging="360"/>
      </w:pPr>
      <w:rPr>
        <w:rFonts w:ascii="Wingdings" w:hAnsi="Wingdings" w:cs="Wingdings" w:hint="default"/>
      </w:rPr>
    </w:lvl>
    <w:lvl w:ilvl="3" w:tplc="04020001">
      <w:start w:val="1"/>
      <w:numFmt w:val="bullet"/>
      <w:lvlText w:val=""/>
      <w:lvlJc w:val="left"/>
      <w:pPr>
        <w:ind w:left="2938" w:hanging="360"/>
      </w:pPr>
      <w:rPr>
        <w:rFonts w:ascii="Symbol" w:hAnsi="Symbol" w:cs="Symbol" w:hint="default"/>
      </w:rPr>
    </w:lvl>
    <w:lvl w:ilvl="4" w:tplc="04020003">
      <w:start w:val="1"/>
      <w:numFmt w:val="bullet"/>
      <w:lvlText w:val="o"/>
      <w:lvlJc w:val="left"/>
      <w:pPr>
        <w:ind w:left="3658" w:hanging="360"/>
      </w:pPr>
      <w:rPr>
        <w:rFonts w:ascii="Courier New" w:hAnsi="Courier New" w:cs="Courier New" w:hint="default"/>
      </w:rPr>
    </w:lvl>
    <w:lvl w:ilvl="5" w:tplc="04020005">
      <w:start w:val="1"/>
      <w:numFmt w:val="bullet"/>
      <w:lvlText w:val=""/>
      <w:lvlJc w:val="left"/>
      <w:pPr>
        <w:ind w:left="4378" w:hanging="360"/>
      </w:pPr>
      <w:rPr>
        <w:rFonts w:ascii="Wingdings" w:hAnsi="Wingdings" w:cs="Wingdings" w:hint="default"/>
      </w:rPr>
    </w:lvl>
    <w:lvl w:ilvl="6" w:tplc="04020001">
      <w:start w:val="1"/>
      <w:numFmt w:val="bullet"/>
      <w:lvlText w:val=""/>
      <w:lvlJc w:val="left"/>
      <w:pPr>
        <w:ind w:left="5098" w:hanging="360"/>
      </w:pPr>
      <w:rPr>
        <w:rFonts w:ascii="Symbol" w:hAnsi="Symbol" w:cs="Symbol" w:hint="default"/>
      </w:rPr>
    </w:lvl>
    <w:lvl w:ilvl="7" w:tplc="04020003">
      <w:start w:val="1"/>
      <w:numFmt w:val="bullet"/>
      <w:lvlText w:val="o"/>
      <w:lvlJc w:val="left"/>
      <w:pPr>
        <w:ind w:left="5818" w:hanging="360"/>
      </w:pPr>
      <w:rPr>
        <w:rFonts w:ascii="Courier New" w:hAnsi="Courier New" w:cs="Courier New" w:hint="default"/>
      </w:rPr>
    </w:lvl>
    <w:lvl w:ilvl="8" w:tplc="04020005">
      <w:start w:val="1"/>
      <w:numFmt w:val="bullet"/>
      <w:lvlText w:val=""/>
      <w:lvlJc w:val="left"/>
      <w:pPr>
        <w:ind w:left="6538"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2B3"/>
    <w:rsid w:val="00082ECF"/>
    <w:rsid w:val="001217AF"/>
    <w:rsid w:val="00201FC2"/>
    <w:rsid w:val="00256E22"/>
    <w:rsid w:val="00343C37"/>
    <w:rsid w:val="003832CB"/>
    <w:rsid w:val="003F7AC8"/>
    <w:rsid w:val="004C7179"/>
    <w:rsid w:val="00630234"/>
    <w:rsid w:val="006D24CF"/>
    <w:rsid w:val="008F0F64"/>
    <w:rsid w:val="009D4898"/>
    <w:rsid w:val="00B908B1"/>
    <w:rsid w:val="00C92999"/>
    <w:rsid w:val="00CF5809"/>
    <w:rsid w:val="00DF02B3"/>
    <w:rsid w:val="00E147DF"/>
    <w:rsid w:val="00EF16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3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7179"/>
    <w:pPr>
      <w:tabs>
        <w:tab w:val="center" w:pos="4536"/>
        <w:tab w:val="right" w:pos="9072"/>
      </w:tabs>
      <w:spacing w:after="0" w:line="240" w:lineRule="auto"/>
    </w:pPr>
  </w:style>
  <w:style w:type="character" w:customStyle="1" w:styleId="a4">
    <w:name w:val="Горен колонтитул Знак"/>
    <w:basedOn w:val="a0"/>
    <w:link w:val="a3"/>
    <w:uiPriority w:val="99"/>
    <w:locked/>
    <w:rsid w:val="004C7179"/>
  </w:style>
  <w:style w:type="paragraph" w:styleId="a5">
    <w:name w:val="footer"/>
    <w:basedOn w:val="a"/>
    <w:link w:val="a6"/>
    <w:uiPriority w:val="99"/>
    <w:rsid w:val="004C7179"/>
    <w:pPr>
      <w:tabs>
        <w:tab w:val="center" w:pos="4536"/>
        <w:tab w:val="right" w:pos="9072"/>
      </w:tabs>
      <w:spacing w:after="0" w:line="240" w:lineRule="auto"/>
    </w:pPr>
  </w:style>
  <w:style w:type="character" w:customStyle="1" w:styleId="a6">
    <w:name w:val="Долен колонтитул Знак"/>
    <w:basedOn w:val="a0"/>
    <w:link w:val="a5"/>
    <w:uiPriority w:val="99"/>
    <w:locked/>
    <w:rsid w:val="004C7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2670</Words>
  <Characters>15225</Characters>
  <Application>Microsoft Office Word</Application>
  <DocSecurity>0</DocSecurity>
  <Lines>126</Lines>
  <Paragraphs>35</Paragraphs>
  <ScaleCrop>false</ScaleCrop>
  <Company>kk</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7</cp:revision>
  <dcterms:created xsi:type="dcterms:W3CDTF">2015-06-10T12:30:00Z</dcterms:created>
  <dcterms:modified xsi:type="dcterms:W3CDTF">2015-07-15T05:25:00Z</dcterms:modified>
</cp:coreProperties>
</file>