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  <w:bookmarkStart w:id="0" w:name="_Toc504484929"/>
    </w:p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P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  <w:r w:rsidRPr="0037575F">
        <w:rPr>
          <w:rFonts w:ascii="Trebuchet MS" w:eastAsia="Calibri" w:hAnsi="Trebuchet MS"/>
          <w:sz w:val="36"/>
          <w:szCs w:val="36"/>
          <w:lang w:val="bg-BG" w:eastAsia="en-US"/>
        </w:rPr>
        <w:t>Технически спецификации</w:t>
      </w:r>
      <w:bookmarkEnd w:id="0"/>
    </w:p>
    <w:p w:rsidR="0037575F" w:rsidRPr="0037575F" w:rsidRDefault="0037575F" w:rsidP="0037575F">
      <w:pPr>
        <w:spacing w:after="160" w:line="259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Pr="0037575F" w:rsidRDefault="0037575F" w:rsidP="0037575F">
      <w:pPr>
        <w:spacing w:before="120" w:after="120" w:line="276" w:lineRule="auto"/>
        <w:jc w:val="center"/>
        <w:rPr>
          <w:rFonts w:ascii="Trebuchet MS" w:eastAsia="Calibri" w:hAnsi="Trebuchet MS"/>
          <w:lang w:val="bg-BG" w:eastAsia="en-US"/>
        </w:rPr>
      </w:pPr>
      <w:r w:rsidRPr="0037575F">
        <w:rPr>
          <w:rFonts w:ascii="Trebuchet MS" w:eastAsia="Calibri" w:hAnsi="Trebuchet MS"/>
          <w:lang w:val="bg-BG" w:eastAsia="en-US"/>
        </w:rPr>
        <w:t>з</w:t>
      </w:r>
      <w:r w:rsidRPr="0037575F">
        <w:rPr>
          <w:rFonts w:ascii="Trebuchet MS" w:eastAsia="Calibri" w:hAnsi="Trebuchet MS"/>
          <w:lang w:val="bg-BG" w:eastAsia="en-US"/>
        </w:rPr>
        <w:t>а</w:t>
      </w:r>
      <w:r w:rsidRPr="0037575F">
        <w:rPr>
          <w:rFonts w:ascii="Trebuchet MS" w:eastAsia="Calibri" w:hAnsi="Trebuchet MS"/>
          <w:lang w:val="en-US" w:eastAsia="en-US"/>
        </w:rPr>
        <w:t xml:space="preserve"> </w:t>
      </w:r>
      <w:r w:rsidRPr="0037575F">
        <w:rPr>
          <w:rFonts w:ascii="Trebuchet MS" w:eastAsia="Calibri" w:hAnsi="Trebuchet MS"/>
          <w:lang w:val="bg-BG" w:eastAsia="en-US"/>
        </w:rPr>
        <w:t>изпълнение</w:t>
      </w:r>
      <w:r w:rsidRPr="0037575F">
        <w:rPr>
          <w:rFonts w:ascii="Trebuchet MS" w:eastAsia="Calibri" w:hAnsi="Trebuchet MS"/>
          <w:lang w:val="bg-BG" w:eastAsia="en-US"/>
        </w:rPr>
        <w:t xml:space="preserve"> на обществена поръчка – събиране на оферти с обява</w:t>
      </w:r>
      <w:r w:rsidRPr="0037575F">
        <w:rPr>
          <w:rFonts w:ascii="Trebuchet MS" w:eastAsia="Calibri" w:hAnsi="Trebuchet MS"/>
          <w:lang w:val="ru-RU" w:eastAsia="en-US"/>
        </w:rPr>
        <w:t>,</w:t>
      </w:r>
      <w:r w:rsidRPr="0037575F">
        <w:rPr>
          <w:rFonts w:ascii="Trebuchet MS" w:eastAsia="Calibri" w:hAnsi="Trebuchet MS"/>
          <w:lang w:val="bg-BG" w:eastAsia="en-US"/>
        </w:rPr>
        <w:t xml:space="preserve"> с предмет: </w:t>
      </w:r>
    </w:p>
    <w:p w:rsidR="0037575F" w:rsidRPr="0037575F" w:rsidRDefault="0037575F" w:rsidP="0037575F">
      <w:pPr>
        <w:spacing w:before="120" w:after="120" w:line="276" w:lineRule="auto"/>
        <w:jc w:val="center"/>
        <w:rPr>
          <w:rFonts w:ascii="Trebuchet MS" w:eastAsia="Calibri" w:hAnsi="Trebuchet MS"/>
          <w:sz w:val="36"/>
          <w:szCs w:val="36"/>
          <w:lang w:val="bg-BG" w:eastAsia="en-US"/>
        </w:rPr>
      </w:pPr>
    </w:p>
    <w:p w:rsidR="0037575F" w:rsidRPr="0037575F" w:rsidRDefault="0037575F" w:rsidP="0037575F">
      <w:pPr>
        <w:spacing w:after="160" w:line="259" w:lineRule="auto"/>
        <w:jc w:val="center"/>
        <w:rPr>
          <w:lang w:val="bg-BG" w:eastAsia="en-US"/>
        </w:rPr>
      </w:pPr>
      <w:r w:rsidRPr="0037575F">
        <w:rPr>
          <w:rFonts w:ascii="Trebuchet MS" w:eastAsia="Calibri" w:hAnsi="Trebuchet MS"/>
          <w:sz w:val="36"/>
          <w:szCs w:val="36"/>
          <w:lang w:val="bg-BG" w:eastAsia="en-US"/>
        </w:rPr>
        <w:t>„ПРЕДОСТАВЯНЕ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</w:t>
      </w:r>
    </w:p>
    <w:p w:rsidR="0037575F" w:rsidRPr="0037575F" w:rsidRDefault="0037575F" w:rsidP="0037575F">
      <w:pPr>
        <w:rPr>
          <w:lang w:val="bg-BG" w:eastAsia="en-US"/>
        </w:rPr>
      </w:pPr>
    </w:p>
    <w:p w:rsidR="0037575F" w:rsidRPr="0037575F" w:rsidRDefault="0037575F">
      <w:pPr>
        <w:spacing w:after="160" w:line="259" w:lineRule="auto"/>
        <w:rPr>
          <w:lang w:val="bg-BG" w:eastAsia="en-US"/>
        </w:rPr>
      </w:pPr>
      <w:r w:rsidRPr="0037575F">
        <w:rPr>
          <w:lang w:val="bg-BG" w:eastAsia="en-US"/>
        </w:rPr>
        <w:br w:type="page"/>
      </w:r>
    </w:p>
    <w:sdt>
      <w:sdtPr>
        <w:rPr>
          <w:rFonts w:ascii="Trebuchet MS" w:hAnsi="Trebuchet MS"/>
          <w:b/>
          <w:color w:val="auto"/>
        </w:rPr>
        <w:id w:val="-129543931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noProof/>
          <w:sz w:val="24"/>
          <w:szCs w:val="24"/>
          <w:lang w:val="ro-RO" w:eastAsia="ro-RO"/>
        </w:rPr>
      </w:sdtEndPr>
      <w:sdtContent>
        <w:p w:rsidR="0037575F" w:rsidRPr="0037575F" w:rsidRDefault="0037575F" w:rsidP="0037575F">
          <w:pPr>
            <w:pStyle w:val="TOCHeading"/>
            <w:spacing w:after="240" w:line="240" w:lineRule="auto"/>
            <w:jc w:val="center"/>
            <w:rPr>
              <w:rFonts w:ascii="Trebuchet MS" w:hAnsi="Trebuchet MS"/>
              <w:b/>
              <w:color w:val="auto"/>
              <w:lang w:val="bg-BG"/>
            </w:rPr>
          </w:pPr>
          <w:r w:rsidRPr="0037575F">
            <w:rPr>
              <w:rFonts w:ascii="Trebuchet MS" w:hAnsi="Trebuchet MS" w:cs="Cambria"/>
              <w:b/>
              <w:color w:val="auto"/>
              <w:lang w:val="bg-BG"/>
            </w:rPr>
            <w:t>Съдържание</w:t>
          </w:r>
        </w:p>
        <w:p w:rsidR="0037575F" w:rsidRPr="00A93A60" w:rsidRDefault="0037575F" w:rsidP="00A93A60">
          <w:pPr>
            <w:pStyle w:val="TOC2"/>
          </w:pPr>
          <w:r w:rsidRPr="0037575F">
            <w:fldChar w:fldCharType="begin"/>
          </w:r>
          <w:r w:rsidRPr="0037575F">
            <w:instrText xml:space="preserve"> TOC \o "1-3" \h \z \u </w:instrText>
          </w:r>
          <w:r w:rsidRPr="0037575F">
            <w:fldChar w:fldCharType="separate"/>
          </w:r>
          <w:hyperlink w:anchor="_Toc505525179" w:history="1">
            <w:r w:rsidRPr="00A93A60">
              <w:rPr>
                <w:rStyle w:val="Hyperlink"/>
              </w:rPr>
              <w:t>1.</w:t>
            </w:r>
            <w:r w:rsidRPr="00A93A60">
              <w:tab/>
            </w:r>
            <w:r w:rsidRPr="00A93A60">
              <w:rPr>
                <w:rStyle w:val="Hyperlink"/>
              </w:rPr>
              <w:t>Описани</w:t>
            </w:r>
            <w:r w:rsidRPr="00A93A60">
              <w:rPr>
                <w:rStyle w:val="Hyperlink"/>
              </w:rPr>
              <w:t>е</w:t>
            </w:r>
            <w:r w:rsidRPr="00A93A60">
              <w:rPr>
                <w:rStyle w:val="Hyperlink"/>
              </w:rPr>
              <w:t xml:space="preserve"> на предмета на поръчката</w:t>
            </w:r>
            <w:r w:rsidRPr="00A93A60">
              <w:rPr>
                <w:webHidden/>
              </w:rPr>
              <w:tab/>
            </w:r>
            <w:r w:rsidRPr="00A93A60">
              <w:rPr>
                <w:webHidden/>
              </w:rPr>
              <w:fldChar w:fldCharType="begin"/>
            </w:r>
            <w:r w:rsidRPr="00A93A60">
              <w:rPr>
                <w:webHidden/>
              </w:rPr>
              <w:instrText xml:space="preserve"> PAGEREF _Toc505525179 \h </w:instrText>
            </w:r>
            <w:r w:rsidRPr="00A93A60">
              <w:rPr>
                <w:webHidden/>
              </w:rPr>
            </w:r>
            <w:r w:rsidRPr="00A93A60">
              <w:rPr>
                <w:webHidden/>
              </w:rPr>
              <w:fldChar w:fldCharType="separate"/>
            </w:r>
            <w:r w:rsidRPr="00A93A60">
              <w:rPr>
                <w:webHidden/>
              </w:rPr>
              <w:t>3</w:t>
            </w:r>
            <w:r w:rsidRPr="00A93A60">
              <w:rPr>
                <w:webHidden/>
              </w:rPr>
              <w:fldChar w:fldCharType="end"/>
            </w:r>
          </w:hyperlink>
        </w:p>
        <w:p w:rsidR="0037575F" w:rsidRPr="0037575F" w:rsidRDefault="0037575F" w:rsidP="00A93A60">
          <w:pPr>
            <w:pStyle w:val="TOC2"/>
          </w:pPr>
          <w:hyperlink w:anchor="_Toc505525180" w:history="1">
            <w:r w:rsidRPr="0037575F">
              <w:rPr>
                <w:rStyle w:val="Hyperlink"/>
              </w:rPr>
              <w:t>2.</w:t>
            </w:r>
            <w:r w:rsidRPr="0037575F">
              <w:tab/>
            </w:r>
            <w:r w:rsidRPr="0037575F">
              <w:rPr>
                <w:rStyle w:val="Hyperlink"/>
              </w:rPr>
              <w:t>Място и срок за изпълнение на поръчката</w:t>
            </w:r>
            <w:r w:rsidRPr="0037575F">
              <w:rPr>
                <w:webHidden/>
              </w:rPr>
              <w:tab/>
            </w:r>
            <w:r w:rsidRPr="0037575F">
              <w:rPr>
                <w:webHidden/>
              </w:rPr>
              <w:fldChar w:fldCharType="begin"/>
            </w:r>
            <w:r w:rsidRPr="0037575F">
              <w:rPr>
                <w:webHidden/>
              </w:rPr>
              <w:instrText xml:space="preserve"> PAGEREF _Toc505525180 \h </w:instrText>
            </w:r>
            <w:r w:rsidRPr="0037575F">
              <w:rPr>
                <w:webHidden/>
              </w:rPr>
            </w:r>
            <w:r w:rsidRPr="0037575F">
              <w:rPr>
                <w:webHidden/>
              </w:rPr>
              <w:fldChar w:fldCharType="separate"/>
            </w:r>
            <w:r w:rsidRPr="0037575F">
              <w:rPr>
                <w:webHidden/>
              </w:rPr>
              <w:t>4</w:t>
            </w:r>
            <w:r w:rsidRPr="0037575F">
              <w:rPr>
                <w:webHidden/>
              </w:rPr>
              <w:fldChar w:fldCharType="end"/>
            </w:r>
          </w:hyperlink>
        </w:p>
        <w:p w:rsidR="0037575F" w:rsidRPr="0037575F" w:rsidRDefault="0037575F" w:rsidP="00A93A60">
          <w:pPr>
            <w:pStyle w:val="TOC2"/>
          </w:pPr>
          <w:hyperlink w:anchor="_Toc505525181" w:history="1">
            <w:r w:rsidRPr="0037575F">
              <w:rPr>
                <w:rStyle w:val="Hyperlink"/>
              </w:rPr>
              <w:t>3.</w:t>
            </w:r>
            <w:r w:rsidRPr="0037575F">
              <w:tab/>
            </w:r>
            <w:r w:rsidRPr="0037575F">
              <w:rPr>
                <w:rStyle w:val="Hyperlink"/>
              </w:rPr>
              <w:t>Изисквания към изпълнението на поръчката</w:t>
            </w:r>
            <w:r w:rsidRPr="0037575F">
              <w:rPr>
                <w:webHidden/>
              </w:rPr>
              <w:tab/>
            </w:r>
            <w:r w:rsidRPr="0037575F">
              <w:rPr>
                <w:webHidden/>
              </w:rPr>
              <w:fldChar w:fldCharType="begin"/>
            </w:r>
            <w:r w:rsidRPr="0037575F">
              <w:rPr>
                <w:webHidden/>
              </w:rPr>
              <w:instrText xml:space="preserve"> PAGEREF _Toc505525181 \h </w:instrText>
            </w:r>
            <w:r w:rsidRPr="0037575F">
              <w:rPr>
                <w:webHidden/>
              </w:rPr>
            </w:r>
            <w:r w:rsidRPr="0037575F">
              <w:rPr>
                <w:webHidden/>
              </w:rPr>
              <w:fldChar w:fldCharType="separate"/>
            </w:r>
            <w:r w:rsidRPr="0037575F">
              <w:rPr>
                <w:webHidden/>
              </w:rPr>
              <w:t>5</w:t>
            </w:r>
            <w:r w:rsidRPr="0037575F">
              <w:rPr>
                <w:webHidden/>
              </w:rPr>
              <w:fldChar w:fldCharType="end"/>
            </w:r>
          </w:hyperlink>
        </w:p>
        <w:p w:rsidR="0037575F" w:rsidRPr="00A93A60" w:rsidRDefault="0037575F" w:rsidP="00A93A60">
          <w:pPr>
            <w:pStyle w:val="TOC2"/>
            <w:rPr>
              <w:b w:val="0"/>
            </w:rPr>
          </w:pPr>
          <w:hyperlink w:anchor="_Toc505525182" w:history="1">
            <w:r w:rsidRPr="00A93A60">
              <w:rPr>
                <w:rStyle w:val="Hyperlink"/>
                <w:b w:val="0"/>
                <w:smallCaps w:val="0"/>
              </w:rPr>
              <w:t>3.1. Обхват на надзора</w:t>
            </w:r>
            <w:r w:rsidRPr="00A93A60">
              <w:rPr>
                <w:b w:val="0"/>
                <w:webHidden/>
              </w:rPr>
              <w:tab/>
            </w:r>
            <w:r w:rsidRPr="00A93A60">
              <w:rPr>
                <w:b w:val="0"/>
                <w:webHidden/>
              </w:rPr>
              <w:fldChar w:fldCharType="begin"/>
            </w:r>
            <w:r w:rsidRPr="00A93A60">
              <w:rPr>
                <w:b w:val="0"/>
                <w:webHidden/>
              </w:rPr>
              <w:instrText xml:space="preserve"> PAGEREF _Toc505525182 \h </w:instrText>
            </w:r>
            <w:r w:rsidRPr="00A93A60">
              <w:rPr>
                <w:b w:val="0"/>
                <w:webHidden/>
              </w:rPr>
            </w:r>
            <w:r w:rsidRPr="00A93A60">
              <w:rPr>
                <w:b w:val="0"/>
                <w:webHidden/>
              </w:rPr>
              <w:fldChar w:fldCharType="separate"/>
            </w:r>
            <w:r w:rsidRPr="00A93A60">
              <w:rPr>
                <w:b w:val="0"/>
                <w:webHidden/>
              </w:rPr>
              <w:t>5</w:t>
            </w:r>
            <w:r w:rsidRPr="00A93A60">
              <w:rPr>
                <w:b w:val="0"/>
                <w:webHidden/>
              </w:rPr>
              <w:fldChar w:fldCharType="end"/>
            </w:r>
          </w:hyperlink>
        </w:p>
        <w:p w:rsidR="0037575F" w:rsidRPr="00A93A60" w:rsidRDefault="0037575F" w:rsidP="00A93A60">
          <w:pPr>
            <w:pStyle w:val="TOC2"/>
            <w:rPr>
              <w:b w:val="0"/>
            </w:rPr>
          </w:pPr>
          <w:hyperlink w:anchor="_Toc505525183" w:history="1">
            <w:r w:rsidRPr="00A93A60">
              <w:rPr>
                <w:rStyle w:val="Hyperlink"/>
                <w:b w:val="0"/>
                <w:smallCaps w:val="0"/>
              </w:rPr>
              <w:t>3.2. Задължения на изпълнителя</w:t>
            </w:r>
            <w:r w:rsidRPr="00A93A60">
              <w:rPr>
                <w:b w:val="0"/>
                <w:webHidden/>
              </w:rPr>
              <w:tab/>
            </w:r>
            <w:r w:rsidRPr="00A93A60">
              <w:rPr>
                <w:b w:val="0"/>
                <w:webHidden/>
              </w:rPr>
              <w:fldChar w:fldCharType="begin"/>
            </w:r>
            <w:r w:rsidRPr="00A93A60">
              <w:rPr>
                <w:b w:val="0"/>
                <w:webHidden/>
              </w:rPr>
              <w:instrText xml:space="preserve"> PAGEREF _Toc505525183 \h </w:instrText>
            </w:r>
            <w:r w:rsidRPr="00A93A60">
              <w:rPr>
                <w:b w:val="0"/>
                <w:webHidden/>
              </w:rPr>
            </w:r>
            <w:r w:rsidRPr="00A93A60">
              <w:rPr>
                <w:b w:val="0"/>
                <w:webHidden/>
              </w:rPr>
              <w:fldChar w:fldCharType="separate"/>
            </w:r>
            <w:r w:rsidRPr="00A93A60">
              <w:rPr>
                <w:b w:val="0"/>
                <w:webHidden/>
              </w:rPr>
              <w:t>7</w:t>
            </w:r>
            <w:r w:rsidRPr="00A93A60">
              <w:rPr>
                <w:b w:val="0"/>
                <w:webHidden/>
              </w:rPr>
              <w:fldChar w:fldCharType="end"/>
            </w:r>
          </w:hyperlink>
        </w:p>
        <w:p w:rsidR="0037575F" w:rsidRPr="00A93A60" w:rsidRDefault="0037575F" w:rsidP="00A93A60">
          <w:pPr>
            <w:pStyle w:val="TOC2"/>
            <w:rPr>
              <w:b w:val="0"/>
            </w:rPr>
          </w:pPr>
          <w:hyperlink w:anchor="_Toc505525184" w:history="1">
            <w:r w:rsidRPr="00A93A60">
              <w:rPr>
                <w:rStyle w:val="Hyperlink"/>
                <w:b w:val="0"/>
                <w:smallCaps w:val="0"/>
              </w:rPr>
              <w:t>3.3. Срокове за изпълнение на конкретни дейности от договора</w:t>
            </w:r>
            <w:r w:rsidRPr="00A93A60">
              <w:rPr>
                <w:b w:val="0"/>
                <w:webHidden/>
              </w:rPr>
              <w:tab/>
            </w:r>
            <w:r w:rsidRPr="00A93A60">
              <w:rPr>
                <w:b w:val="0"/>
                <w:webHidden/>
              </w:rPr>
              <w:fldChar w:fldCharType="begin"/>
            </w:r>
            <w:r w:rsidRPr="00A93A60">
              <w:rPr>
                <w:b w:val="0"/>
                <w:webHidden/>
              </w:rPr>
              <w:instrText xml:space="preserve"> PAGEREF _Toc505525184 \h </w:instrText>
            </w:r>
            <w:r w:rsidRPr="00A93A60">
              <w:rPr>
                <w:b w:val="0"/>
                <w:webHidden/>
              </w:rPr>
            </w:r>
            <w:r w:rsidRPr="00A93A60">
              <w:rPr>
                <w:b w:val="0"/>
                <w:webHidden/>
              </w:rPr>
              <w:fldChar w:fldCharType="separate"/>
            </w:r>
            <w:r w:rsidRPr="00A93A60">
              <w:rPr>
                <w:b w:val="0"/>
                <w:webHidden/>
              </w:rPr>
              <w:t>8</w:t>
            </w:r>
            <w:r w:rsidRPr="00A93A60">
              <w:rPr>
                <w:b w:val="0"/>
                <w:webHidden/>
              </w:rPr>
              <w:fldChar w:fldCharType="end"/>
            </w:r>
          </w:hyperlink>
        </w:p>
        <w:p w:rsidR="0037575F" w:rsidRPr="00A93A60" w:rsidRDefault="0037575F" w:rsidP="00A93A60">
          <w:pPr>
            <w:pStyle w:val="TOC2"/>
            <w:rPr>
              <w:b w:val="0"/>
            </w:rPr>
          </w:pPr>
          <w:hyperlink w:anchor="_Toc505525185" w:history="1">
            <w:r w:rsidRPr="00A93A60">
              <w:rPr>
                <w:rStyle w:val="Hyperlink"/>
                <w:b w:val="0"/>
                <w:smallCaps w:val="0"/>
              </w:rPr>
              <w:t>3.4. Други изисквания</w:t>
            </w:r>
            <w:r w:rsidRPr="00A93A60">
              <w:rPr>
                <w:b w:val="0"/>
                <w:webHidden/>
              </w:rPr>
              <w:tab/>
            </w:r>
            <w:r w:rsidRPr="00A93A60">
              <w:rPr>
                <w:b w:val="0"/>
                <w:webHidden/>
              </w:rPr>
              <w:fldChar w:fldCharType="begin"/>
            </w:r>
            <w:r w:rsidRPr="00A93A60">
              <w:rPr>
                <w:b w:val="0"/>
                <w:webHidden/>
              </w:rPr>
              <w:instrText xml:space="preserve"> PAGEREF _Toc505525185 \h </w:instrText>
            </w:r>
            <w:r w:rsidRPr="00A93A60">
              <w:rPr>
                <w:b w:val="0"/>
                <w:webHidden/>
              </w:rPr>
            </w:r>
            <w:r w:rsidRPr="00A93A60">
              <w:rPr>
                <w:b w:val="0"/>
                <w:webHidden/>
              </w:rPr>
              <w:fldChar w:fldCharType="separate"/>
            </w:r>
            <w:r w:rsidRPr="00A93A60">
              <w:rPr>
                <w:b w:val="0"/>
                <w:webHidden/>
              </w:rPr>
              <w:t>9</w:t>
            </w:r>
            <w:r w:rsidRPr="00A93A60">
              <w:rPr>
                <w:b w:val="0"/>
                <w:webHidden/>
              </w:rPr>
              <w:fldChar w:fldCharType="end"/>
            </w:r>
          </w:hyperlink>
        </w:p>
        <w:p w:rsidR="0037575F" w:rsidRPr="0037575F" w:rsidRDefault="0037575F" w:rsidP="00A93A60">
          <w:pPr>
            <w:pStyle w:val="TOC2"/>
          </w:pPr>
          <w:hyperlink w:anchor="_Toc505525186" w:history="1">
            <w:r w:rsidRPr="0037575F">
              <w:rPr>
                <w:rStyle w:val="Hyperlink"/>
                <w:smallCaps w:val="0"/>
              </w:rPr>
              <w:t>4.</w:t>
            </w:r>
            <w:r w:rsidRPr="0037575F">
              <w:tab/>
            </w:r>
            <w:r w:rsidRPr="0037575F">
              <w:rPr>
                <w:rStyle w:val="Hyperlink"/>
              </w:rPr>
              <w:t>Приложения</w:t>
            </w:r>
            <w:r w:rsidRPr="0037575F">
              <w:rPr>
                <w:webHidden/>
              </w:rPr>
              <w:tab/>
            </w:r>
            <w:r w:rsidRPr="0037575F">
              <w:rPr>
                <w:webHidden/>
              </w:rPr>
              <w:fldChar w:fldCharType="begin"/>
            </w:r>
            <w:r w:rsidRPr="0037575F">
              <w:rPr>
                <w:webHidden/>
              </w:rPr>
              <w:instrText xml:space="preserve"> PAGEREF _Toc505525186 \h </w:instrText>
            </w:r>
            <w:r w:rsidRPr="0037575F">
              <w:rPr>
                <w:webHidden/>
              </w:rPr>
            </w:r>
            <w:r w:rsidRPr="0037575F">
              <w:rPr>
                <w:webHidden/>
              </w:rPr>
              <w:fldChar w:fldCharType="separate"/>
            </w:r>
            <w:r w:rsidRPr="0037575F">
              <w:rPr>
                <w:webHidden/>
              </w:rPr>
              <w:t>9</w:t>
            </w:r>
            <w:r w:rsidRPr="0037575F">
              <w:rPr>
                <w:webHidden/>
              </w:rPr>
              <w:fldChar w:fldCharType="end"/>
            </w:r>
          </w:hyperlink>
        </w:p>
        <w:p w:rsidR="0037575F" w:rsidRPr="0037575F" w:rsidRDefault="0037575F" w:rsidP="0037575F">
          <w:pPr>
            <w:spacing w:before="240" w:after="240"/>
          </w:pPr>
          <w:r w:rsidRPr="0037575F">
            <w:rPr>
              <w:b/>
              <w:bCs/>
              <w:noProof/>
            </w:rPr>
            <w:fldChar w:fldCharType="end"/>
          </w:r>
        </w:p>
      </w:sdtContent>
    </w:sdt>
    <w:p w:rsidR="0037575F" w:rsidRPr="0037575F" w:rsidRDefault="0037575F" w:rsidP="0037575F">
      <w:pPr>
        <w:rPr>
          <w:lang w:val="bg-BG" w:eastAsia="en-US"/>
        </w:rPr>
      </w:pPr>
    </w:p>
    <w:p w:rsidR="0037575F" w:rsidRPr="0037575F" w:rsidRDefault="0037575F">
      <w:pPr>
        <w:spacing w:after="160" w:line="259" w:lineRule="auto"/>
        <w:rPr>
          <w:lang w:val="bg-BG" w:eastAsia="en-US"/>
        </w:rPr>
      </w:pPr>
      <w:r w:rsidRPr="0037575F">
        <w:rPr>
          <w:lang w:val="bg-BG" w:eastAsia="en-US"/>
        </w:rPr>
        <w:br w:type="page"/>
      </w:r>
      <w:bookmarkStart w:id="1" w:name="_GoBack"/>
      <w:bookmarkEnd w:id="1"/>
    </w:p>
    <w:p w:rsidR="0037575F" w:rsidRPr="0037575F" w:rsidRDefault="0037575F" w:rsidP="0037575F">
      <w:pPr>
        <w:keepNext/>
        <w:keepLines/>
        <w:numPr>
          <w:ilvl w:val="0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2" w:name="_Toc482357591"/>
      <w:bookmarkStart w:id="3" w:name="_Toc504484930"/>
      <w:bookmarkStart w:id="4" w:name="_Toc505525179"/>
      <w:r w:rsidRPr="0037575F">
        <w:rPr>
          <w:rFonts w:ascii="Trebuchet MS" w:hAnsi="Trebuchet MS"/>
          <w:b/>
          <w:lang w:val="bg-BG" w:eastAsia="en-US"/>
        </w:rPr>
        <w:lastRenderedPageBreak/>
        <w:t>Описание на предмета на поръчката</w:t>
      </w:r>
      <w:bookmarkEnd w:id="2"/>
      <w:bookmarkEnd w:id="3"/>
      <w:bookmarkEnd w:id="4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В резултат от изпълнението на Договор № Д-33/11.03.2013 г. е изработен Идеен проект за „Основен ремонт и саниране на многофункционална спортна зала с идентификатор по ККР № 83017.503.3277.1“. С одобрения Идеен проект към издаденото разрешение за строеж № 5 от 01.03.2016 г, Община Шабла е одобрена за финансиране по проект: 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Румъния“. Идейният инвестиционен проект е съгласуван от главния архитект на общината и е послужил за продължаване на проектирането в следващата фаза – изготвяне на работен проект.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 w:cs="Calibri"/>
          <w:sz w:val="22"/>
          <w:szCs w:val="22"/>
          <w:lang w:val="ru-RU" w:eastAsia="ar-SA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Въз основа на Договор № 5 от 08.01.2018 г. с предмет 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Румъния“, е изработена техническа документация по части: </w:t>
      </w:r>
      <w:r w:rsidRPr="0037575F">
        <w:rPr>
          <w:rFonts w:ascii="Trebuchet MS" w:eastAsia="Calibri" w:hAnsi="Trebuchet MS"/>
          <w:sz w:val="22"/>
          <w:szCs w:val="22"/>
          <w:lang w:val="ru-RU" w:eastAsia="en-US"/>
        </w:rPr>
        <w:t xml:space="preserve">(1)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Архитектурна;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(2)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Конструкции;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(3)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Електроинсталации (силнотокова и слаботокова: видеонаблюдение и озвучаване);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(4)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ВиК инсталации;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(5)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ОВК инсталации;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(6)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Енергийна ефективност;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(7)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Пожарна безопасност;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 (8)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ПУСО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; (9)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ПБЗ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; (10) </w:t>
      </w: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Геодезия и вертикална планировка (вж. приложенията към настоящата документация)</w:t>
      </w:r>
      <w:r w:rsidRPr="0037575F">
        <w:rPr>
          <w:rFonts w:ascii="Trebuchet MS" w:eastAsia="Calibri" w:hAnsi="Trebuchet MS" w:cs="Calibri"/>
          <w:sz w:val="22"/>
          <w:szCs w:val="22"/>
          <w:lang w:val="ru-RU" w:eastAsia="ar-SA"/>
        </w:rPr>
        <w:t xml:space="preserve">. 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 xml:space="preserve">Към настоящия момент Възложителят е в процес на избор на изпълнител на СМР, свързани с извършването на реконструкцията на 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многофункционалната спортна зала. Строежът е III категория, б. „в“, съгласно чл. 6, ал. 3 от Наредба №1 от 30.07.2003 г. за номенклатурата на видовете строежи - сгради и съоръжения за обществено обслужване с разгъната застроена площ над 5000 кв. м или с капацитет от 200 до 1000 места включително за посетители, съгласно номенклатурата по приложение № 2 от Наредбата.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 w:cs="Calibri"/>
          <w:sz w:val="22"/>
          <w:szCs w:val="22"/>
          <w:lang w:val="bg-BG" w:eastAsia="ar-SA"/>
        </w:rPr>
      </w:pP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Във връзка с предстоящото извършване на така описаните СМР на основание чл. 168, ал. 2 от ЗУТ, Възложителят следва да избере изпълнител (консултант), който да предостави услугите съгласно изискванията на чл. 166 от ЗУТ.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 w:cs="Calibri"/>
          <w:sz w:val="22"/>
          <w:szCs w:val="22"/>
          <w:lang w:val="bg-BG" w:eastAsia="ar-SA"/>
        </w:rPr>
      </w:pPr>
      <w:r w:rsidRPr="0037575F">
        <w:rPr>
          <w:rFonts w:ascii="Trebuchet MS" w:eastAsia="Calibri" w:hAnsi="Trebuchet MS" w:cs="Calibri"/>
          <w:sz w:val="22"/>
          <w:szCs w:val="22"/>
          <w:lang w:val="bg-BG" w:eastAsia="ar-SA"/>
        </w:rPr>
        <w:t>Срокът за извършването на СМР от Строителя е 6 (шест) месеца.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Сградата на многофункционалната спортна зала е построена през периода 1980 – 1985 г. по проект изготвен от проектантска организация. Разположена е в УПИ І в кв. 48, по плана на ЦГЧ на гр. Шабла, ПИ 83017.503.3277 по КК на Шабла и е публична общинска собственост, АПОС № 1339/10.11.2014 г.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Сградата е едноетажна с обитаем полуподземен етаж. Основната част от сградата е заета от спортна многофункционална зала със зрителна част- трибуни и ложа. Освен 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>това съществуват и три по-малки, спомагателни зали за спортни игри и занимания. В комплекса има още спомагателни помещения: съблекални, бани, санитарни възли, складове и др.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За инсталационните нужди са изградени и оборудвани специализирани помещения. В сградата съществуват помещения свързани с основната и функция, за които не е осигурена обща достъпна среда. Частично са подменени външните и вътрешните дограми с такива от ПВЦ профили и стъклопакет. Преобладаващата част от дограмата е в първоначалния и вид- стоманени профили с единично стъкло. Всички помещения са с изградени трайни настилки. Конструкцията на комплекса е смесена. Основната конструкция е класическа, монолитна армирано-бетонова скелетна с греди и колони в ортогонален растер. Покривът на високата зала е изпълнен с пространствена метална конструкция тип „</w:t>
      </w:r>
      <w:proofErr w:type="spellStart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Мархи</w:t>
      </w:r>
      <w:proofErr w:type="spellEnd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”, покрит е с  профилна ламарина. Фундирането на сградата е плитко, на единични стъпки. Сградата е проектирана и строена преди 1987г., съответно не са приложени активни противоземетръсни мерки към конструкцията. Сградата е електрифицирана. Изградени са различни по вид и предназначение инсталации свързани с функцията на комплекса. Не е изградена пожароизвестителна инсталация. Сградата е водоснабдена и отводнена. Освен инсталации за питейно-битови нужди има изградена такава за ръчно пожарогасене с пожарни кранове.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Съгласно проекта и първоначалния замисъл сградата е предвидено да се отоплява с инсталация с централно топлоподаване на гореща вода и индивидуални отоплители за всяко помещение. Изградената отоплителна инсталация е компрометирана, не функционира и не може да се прецени надеждността на съществуващите отоплители. Част от помещенията се отопляват с електрически отоплителни тела и инверторни климатизатори. За залата е изградена централизирана смукателно- нагнетателна вентилационна инсталация. В сутерена е монтирано съоръжение от типа “Хемус-6” за обработка и подготовка на въздуха. В залата са монтирани на 3 клона нагнетателни решетки в пространството на металната конструкция на покрива, а смукателните решетки са под седалките на трибуните. Вентилационната инсталация никога не е функционирала по предназначение.</w:t>
      </w:r>
    </w:p>
    <w:p w:rsidR="0037575F" w:rsidRPr="0037575F" w:rsidRDefault="0037575F" w:rsidP="0037575F">
      <w:pPr>
        <w:keepNext/>
        <w:keepLines/>
        <w:numPr>
          <w:ilvl w:val="0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5" w:name="_Toc482357596"/>
      <w:bookmarkStart w:id="6" w:name="_Toc504484931"/>
      <w:bookmarkStart w:id="7" w:name="_Toc505525180"/>
      <w:r w:rsidRPr="0037575F">
        <w:rPr>
          <w:rFonts w:ascii="Trebuchet MS" w:hAnsi="Trebuchet MS"/>
          <w:b/>
          <w:lang w:val="bg-BG" w:eastAsia="en-US"/>
        </w:rPr>
        <w:t>Място и срок за изпълнение на поръчката</w:t>
      </w:r>
      <w:bookmarkEnd w:id="5"/>
      <w:bookmarkEnd w:id="6"/>
      <w:bookmarkEnd w:id="7"/>
      <w:r w:rsidRPr="0037575F">
        <w:rPr>
          <w:rFonts w:ascii="Trebuchet MS" w:hAnsi="Trebuchet MS"/>
          <w:b/>
          <w:lang w:val="bg-BG" w:eastAsia="en-US"/>
        </w:rPr>
        <w:t xml:space="preserve"> 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Съществената част от обществената поръчка ще се изпълнява на територията на Република България, гр. Шабла и офис помещенията на Възложителя и избрания изпълнител.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Договорът влиза в сила от датата на двустранното му подписване. 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bookmarkStart w:id="8" w:name="_Hlk504480004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Ефективното изпълнение на задълженията на Изпълнителя по договора започва, считано от датата на откриване на строителна площадка и определяне на строителна линия и ниво, удостоверено с протокол акт обр. 2 и Възлагателно писмо от страна на Възложителя</w:t>
      </w:r>
      <w:bookmarkEnd w:id="8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. 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bookmarkStart w:id="9" w:name="_Hlk504480225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>Ефективното изпълнение на задълженията на Изпълнителя по договора приключва с въвеждането на обекта в експлоатация, удостоверено с издаването на Разрешение за ползване и съставянето на технически паспорт</w:t>
      </w:r>
      <w:bookmarkEnd w:id="9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.</w:t>
      </w:r>
    </w:p>
    <w:p w:rsidR="0037575F" w:rsidRPr="0037575F" w:rsidRDefault="0037575F" w:rsidP="0037575F">
      <w:pPr>
        <w:keepNext/>
        <w:keepLines/>
        <w:numPr>
          <w:ilvl w:val="0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10" w:name="_Toc482357601"/>
      <w:bookmarkStart w:id="11" w:name="_Toc504484932"/>
      <w:bookmarkStart w:id="12" w:name="_Toc505525181"/>
      <w:r w:rsidRPr="0037575F">
        <w:rPr>
          <w:rFonts w:ascii="Trebuchet MS" w:hAnsi="Trebuchet MS"/>
          <w:b/>
          <w:lang w:val="bg-BG" w:eastAsia="en-US"/>
        </w:rPr>
        <w:t>Изисквания към изпълнението на поръчката</w:t>
      </w:r>
      <w:bookmarkEnd w:id="10"/>
      <w:bookmarkEnd w:id="11"/>
      <w:bookmarkEnd w:id="12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Целта на възлаганата поръчка е да се гарантира законосъобразното изпълнение на строежа съгласно българското законодателство, чрез осъществяване на строителен надзор. С изпълнението на конкретните дейности, предмет на договора за възлагане на обществената поръчка се очакват резултати както следва: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Осъществен строителен надзор върху изпълнение на строителните дейности. 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Спазени разпоредбите на ЗУТ, относно осъществяването на строителен надзор във връзка с категорията на строежите; 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Упражнен контрол по отношение на качествено извършени строително- монтажни дейности. Контрол при прилагането на разпоредбите за безопасни и здравословни условия на труд и управление на строителните отпадъци; 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Ефективен строителен надзор - контрол по качеството и количеството, мониторинг на прогреса и администрацията на строителните работи; 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Оформена и съгласувана техническа документация, вкл. издадени актове, сертификати за извършени работи, други свързани със строителния процес документи;</w:t>
      </w:r>
    </w:p>
    <w:p w:rsidR="0037575F" w:rsidRPr="0037575F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Издадени разрешения за ползване на строежите, съгласно категорията по ЗУТ</w:t>
      </w:r>
      <w:r w:rsidRPr="0037575F">
        <w:rPr>
          <w:rFonts w:ascii="Trebuchet MS" w:eastAsia="Calibri" w:hAnsi="Trebuchet MS"/>
          <w:sz w:val="22"/>
          <w:szCs w:val="22"/>
          <w:lang w:val="ru-RU" w:eastAsia="en-US"/>
        </w:rPr>
        <w:t>.</w:t>
      </w:r>
    </w:p>
    <w:p w:rsidR="0037575F" w:rsidRPr="0037575F" w:rsidRDefault="0037575F" w:rsidP="0037575F">
      <w:pPr>
        <w:keepNext/>
        <w:keepLines/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13" w:name="_Toc504484933"/>
      <w:bookmarkStart w:id="14" w:name="_Toc505525182"/>
      <w:r w:rsidRPr="0037575F">
        <w:rPr>
          <w:rFonts w:ascii="Trebuchet MS" w:hAnsi="Trebuchet MS"/>
          <w:b/>
          <w:lang w:val="bg-BG" w:eastAsia="en-US"/>
        </w:rPr>
        <w:t>Обхват на надзора</w:t>
      </w:r>
      <w:bookmarkEnd w:id="13"/>
      <w:bookmarkEnd w:id="14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Изпълнителят осъществява функциите, произтичащи от ЗУТ, чрез ключовите експерти, посочени в предложението му - строителен надзор по смисъла на ЗУТ върху строително-монтажните работи. 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Строителният надзор се изпълнява в задължителния обхват съгласно изискванията на ЗУТ, Наредба №3 от 2003г. на МРРБ за съставяне на актове и протоколи по време на строителството, с отчитане изискванията на Наредба № РД-02-20-1 от 2015 г. за условията и реда за влагане на строителни продукти в строежите на Република България и всички законови и подзаконови нормативни актове в областта на строителството и включва: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Законосъобразно започване на строежа, включително даване на строителна линия, подготовка и заверка на Заповедна книга и уведомяване всички специализирани контролни органи за извършената заверка;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Осъществяване на контрол относно пълнота и правилно съставяне на актовете и протоколите по време на строителството;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 xml:space="preserve">Приемане на изпълнените СМР в съответствие с изискванията на ПИПСМР, БДС и другите действащи нормативни документи;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Контрол по спазването на изискванията на одобрените инвестиционни проекти и техническите спецификации в съответствие с чл. 169 на ЗУТ;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Контрол по спазването на условията за безопасност на труда и пожаробезопасност;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Недопускане на увреждане на трети лица и имоти вследствие на строителството</w:t>
      </w:r>
      <w:r w:rsidRPr="0037575F">
        <w:rPr>
          <w:rFonts w:ascii="Trebuchet MS" w:eastAsia="Calibri" w:hAnsi="Trebuchet MS"/>
          <w:sz w:val="22"/>
          <w:szCs w:val="22"/>
          <w:lang w:val="ru-RU" w:eastAsia="en-US"/>
        </w:rPr>
        <w:t>;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Контрол на материалите и оборудването в съответствие с изискванията на Закона за техническите изисквания към продуктите и подзаконовите нормативни актове по неговото прилагане;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Съставяне на констативен акт, след завършване на строително-монтажните 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Съдействие на Възложителя, след завършването на строително-монтажните работи и приключване на приемните изпитвания в окомплектоването на необходимите документи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, вкл. изготвяне на технически паспорт,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 за въвеждането на обекта в експлоатация;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Участие в приемни изпитвания и всички дейности за издаването на Разрешение за ползване; 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За периода на минималните гаранционни срокове по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на съответните видове строителни работи, се ангажират при появата на дефекти, за тяхна сметка да участват при констатирането им и да упражняват строителен надзор при отстраняването им;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Изпълнява функциите на координатор по безопасност и здраве за етапа на строителството съгласно чл. 5, ал. 3 от Наредба № 2/2004 г. За минимални изисквания за здравословни и безопасни условия на труд при извършване на строителните работи;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>Изготвяне на Окончателен доклад съгласно чл.168, ал.6 от ЗУТ, за издаване на Разрешение за ползване, включително технически паспорт, съгласно Наредба № 5 от 2006 г. За техническите паспорти на строежите и предприемане на необходимите действия за осигуряване на удостоверение от АГКК по чл. 54а от Закона за кадастъра и имотния регистър (ЗКИР). Докладът следва да е окомплектован с всички необходими документи, удостоверяващи годността на строежа за приемане;</w:t>
      </w:r>
    </w:p>
    <w:p w:rsidR="0037575F" w:rsidRPr="0037575F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Внасяне на Окончателния доклад за издаване на Разрешение за ползване за съответния обект.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Целите, които трябва да бъдат постигнати от избрания изпълнител на обществената поръчка са: </w:t>
      </w:r>
    </w:p>
    <w:p w:rsidR="0037575F" w:rsidRPr="0037575F" w:rsidRDefault="0037575F" w:rsidP="0037575F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Изпълнение на обекта в срок и по ефективен и прозрачен начин в съответствие с изискванията на отговорните институции, договора и приложимото българско законодателство</w:t>
      </w:r>
      <w:r w:rsidRPr="0037575F">
        <w:rPr>
          <w:rFonts w:ascii="Trebuchet MS" w:eastAsia="Calibri" w:hAnsi="Trebuchet MS"/>
          <w:sz w:val="22"/>
          <w:szCs w:val="22"/>
          <w:lang w:val="ru-RU" w:eastAsia="en-US"/>
        </w:rPr>
        <w:t>;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 </w:t>
      </w:r>
    </w:p>
    <w:p w:rsidR="0037575F" w:rsidRPr="0037575F" w:rsidRDefault="0037575F" w:rsidP="0037575F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Получаване на всички строителни документи съгласно приложимото българско законодателство по време и при приключване реализацията на инвестиционния проект.</w:t>
      </w:r>
    </w:p>
    <w:p w:rsidR="0037575F" w:rsidRPr="0037575F" w:rsidRDefault="0037575F" w:rsidP="0037575F">
      <w:pPr>
        <w:keepNext/>
        <w:keepLines/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15" w:name="_Toc504484934"/>
      <w:bookmarkStart w:id="16" w:name="_Toc505525183"/>
      <w:r w:rsidRPr="0037575F">
        <w:rPr>
          <w:rFonts w:ascii="Trebuchet MS" w:hAnsi="Trebuchet MS"/>
          <w:b/>
          <w:lang w:val="bg-BG" w:eastAsia="en-US"/>
        </w:rPr>
        <w:t>Задължения на изпълнителя</w:t>
      </w:r>
      <w:bookmarkEnd w:id="15"/>
      <w:bookmarkEnd w:id="16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Изпълнителят е длъжен: 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започне изпълнението по Договора след като получи от Възложителя известие за започване на изпълнението по договора;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спре изпълнението по настоящия Договор, когато получи от Възложителя известие за това;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информира Възложителя и Изпълнителя на строителството за всички потенциални проблеми, които възникват и биха могли да възникнат в хода на строителството, като предложи адекватни решения за тях;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При приключване на договора да предостави на Възложителя всички доклади, както и цялата информация и документи и/или получени материали, събирани и подготвени от него при и по повод изпълнението на настоящия Договор;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уведоми писмено Възложителя за спиране на изпълнението на настоящия Договор в случай на възникване на непреодолими обстоятелства;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не използва по никакъв начин, включително за свои нужди или като разгласява пред трети лица, каквато и да било информация за Възложителя, негови служители или контрагенти, станала му известна при или по повод изпълнението на този договор;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>Да поддържа през целия срок на договора валидни застраховки професионална отговорност за осъществяване на дейностите оценяване на съответствието на инвестиционните проекти и упражнява строителен надзор, съгласно Наредба за условията и реда за задължително застраховане в проектирането и строителството и да представи копия на застрахователните полици на Възложителя според условията на договора;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При необходимост от смяна на ключов експерт, да направи писмено искане пред Възложителя, в което мотивира предложенията си и прилага данните за квалификацията и професионалния опит на предложената замяна;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представлява Възложителя пред държавните и общинските органи тогава, когато това е пряко свързано с упражняването на строителния надзор, съгласно ЗУТ и подзаконовите нормативни актове по неговото прилагане;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Да изпълнява и други дейности, изрично </w:t>
      </w:r>
      <w:proofErr w:type="spellStart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неупоменати</w:t>
      </w:r>
      <w:proofErr w:type="spellEnd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, но следващи от естеството на договора за настоящата обществена поръчка и българското законодателство;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Оказване на съдействие и предоставяне на информация и документация при посещение на обекта от страна на Възложителя, органи на ЕК, одитиращи институции и др. контролни органи;</w:t>
      </w:r>
    </w:p>
    <w:p w:rsidR="0037575F" w:rsidRPr="0037575F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Да изготвя справки и др. информация при поискване от Възложител.</w:t>
      </w:r>
    </w:p>
    <w:p w:rsidR="0037575F" w:rsidRPr="0037575F" w:rsidRDefault="0037575F" w:rsidP="0037575F">
      <w:pPr>
        <w:keepNext/>
        <w:keepLines/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17" w:name="_Toc504484935"/>
      <w:bookmarkStart w:id="18" w:name="_Toc505525184"/>
      <w:r w:rsidRPr="0037575F">
        <w:rPr>
          <w:rFonts w:ascii="Trebuchet MS" w:hAnsi="Trebuchet MS"/>
          <w:b/>
          <w:lang w:val="bg-BG" w:eastAsia="en-US"/>
        </w:rPr>
        <w:t>Срокове за изпълнение на конкретни дейности от договора</w:t>
      </w:r>
      <w:bookmarkEnd w:id="17"/>
      <w:bookmarkEnd w:id="18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 Срокове за изпълнение на конкретни дейности от договора са както следва: </w:t>
      </w:r>
    </w:p>
    <w:p w:rsidR="0037575F" w:rsidRPr="0037575F" w:rsidRDefault="0037575F" w:rsidP="0037575F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Срокът за упражняване на функциите на строителен надзор е </w:t>
      </w:r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периодът време, считано </w:t>
      </w:r>
      <w:bookmarkStart w:id="19" w:name="_Hlk504410691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>от подписването на Протокола за откриване на строителна площадка и определяне на строителна линия и ниво</w:t>
      </w:r>
      <w:bookmarkEnd w:id="19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 </w:t>
      </w:r>
      <w:bookmarkStart w:id="20" w:name="_Hlk504410770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>(акт обр. 2</w:t>
      </w:r>
      <w:bookmarkEnd w:id="20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), до </w:t>
      </w:r>
      <w:bookmarkStart w:id="21" w:name="_Hlk504410730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>подписването на Констативен акт обр. 15 (без забележки)</w:t>
      </w:r>
      <w:bookmarkEnd w:id="21"/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 и завършва с издаване на Разрешение за ползване.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 </w:t>
      </w:r>
    </w:p>
    <w:p w:rsidR="0037575F" w:rsidRPr="0037575F" w:rsidRDefault="0037575F" w:rsidP="0037575F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Срок за изготвяне на окончателен доклад съгласно чл. 168, ал. 6 от ЗУТ, за </w:t>
      </w:r>
      <w:bookmarkStart w:id="22" w:name="_Hlk504410824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издаване на Разрешение за ползване</w:t>
      </w:r>
      <w:bookmarkEnd w:id="22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, включително </w:t>
      </w:r>
      <w:bookmarkStart w:id="23" w:name="_Hlk504410873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съставяне на технически паспорт</w:t>
      </w:r>
      <w:bookmarkEnd w:id="23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, съгласно Наредба № 5 от 2006 г. за техническите паспорти на строежите, </w:t>
      </w:r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e 10 календарни дни. </w:t>
      </w:r>
    </w:p>
    <w:p w:rsidR="0037575F" w:rsidRPr="0037575F" w:rsidRDefault="0037575F" w:rsidP="0037575F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Срокът за отстраняване на пропуски, забележки и коментари по предадената документация </w:t>
      </w:r>
      <w:r w:rsidRPr="0037575F">
        <w:rPr>
          <w:rFonts w:ascii="Trebuchet MS" w:eastAsia="Calibri" w:hAnsi="Trebuchet MS"/>
          <w:b/>
          <w:sz w:val="22"/>
          <w:szCs w:val="22"/>
          <w:lang w:val="bg-BG" w:eastAsia="en-US"/>
        </w:rPr>
        <w:t>е пет календарни дни,</w:t>
      </w: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 считано от получаване на писмо с описаните пропуски, забележки и коментари.</w:t>
      </w:r>
    </w:p>
    <w:p w:rsidR="0037575F" w:rsidRPr="0037575F" w:rsidRDefault="0037575F" w:rsidP="0037575F">
      <w:pPr>
        <w:keepNext/>
        <w:keepLines/>
        <w:numPr>
          <w:ilvl w:val="1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24" w:name="_Toc504484936"/>
      <w:bookmarkStart w:id="25" w:name="_Toc505525185"/>
      <w:r w:rsidRPr="0037575F">
        <w:rPr>
          <w:rFonts w:ascii="Trebuchet MS" w:hAnsi="Trebuchet MS"/>
          <w:b/>
          <w:lang w:val="bg-BG" w:eastAsia="en-US"/>
        </w:rPr>
        <w:t>Други изисквания</w:t>
      </w:r>
      <w:bookmarkEnd w:id="24"/>
      <w:bookmarkEnd w:id="25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За периода на изпълнение на договора от началната дата до получаване на Разрешение за ползване на обекта, Изпълнителят поема разходите относно дейността на неговия състав. Това включва най-общо: </w:t>
      </w:r>
    </w:p>
    <w:p w:rsidR="0037575F" w:rsidRPr="0037575F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lastRenderedPageBreak/>
        <w:t xml:space="preserve">Възнаграждения за неговия състав, жилищно настаняване, текущи разходи, </w:t>
      </w:r>
      <w:bookmarkStart w:id="26" w:name="_Hlk504410396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застраховки, лицензи, разрешителни</w:t>
      </w:r>
      <w:bookmarkEnd w:id="26"/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; </w:t>
      </w:r>
    </w:p>
    <w:p w:rsidR="0037575F" w:rsidRPr="0037575F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 xml:space="preserve">Транспорт за неговия състав; </w:t>
      </w:r>
    </w:p>
    <w:p w:rsidR="0037575F" w:rsidRPr="0037575F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Офис оборудване, техника и консумативи;</w:t>
      </w:r>
    </w:p>
    <w:p w:rsidR="0037575F" w:rsidRPr="0037575F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Инструменти, услуги и организационна поддръжка за успешното изпълнение на договора.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Всички експерти и специалисти на Изпълнителя следва да бъдат снабдени с лични предпазни средства при посещение на обекта, вкл. водонепромокаемо облекло с ярък цвят, каски, предпазни обувки, и други необходими средства за посещение на обекта.</w:t>
      </w:r>
    </w:p>
    <w:p w:rsidR="0037575F" w:rsidRPr="0037575F" w:rsidRDefault="0037575F" w:rsidP="0037575F">
      <w:pPr>
        <w:keepNext/>
        <w:keepLines/>
        <w:numPr>
          <w:ilvl w:val="0"/>
          <w:numId w:val="2"/>
        </w:numPr>
        <w:spacing w:before="120" w:after="120" w:line="276" w:lineRule="auto"/>
        <w:jc w:val="both"/>
        <w:outlineLvl w:val="1"/>
        <w:rPr>
          <w:rFonts w:ascii="Trebuchet MS" w:hAnsi="Trebuchet MS"/>
          <w:b/>
          <w:lang w:val="bg-BG" w:eastAsia="en-US"/>
        </w:rPr>
      </w:pPr>
      <w:bookmarkStart w:id="27" w:name="_Toc504484937"/>
      <w:bookmarkStart w:id="28" w:name="_Toc505525186"/>
      <w:r w:rsidRPr="0037575F">
        <w:rPr>
          <w:rFonts w:ascii="Trebuchet MS" w:hAnsi="Trebuchet MS"/>
          <w:b/>
          <w:lang w:val="bg-BG" w:eastAsia="en-US"/>
        </w:rPr>
        <w:t>Приложения</w:t>
      </w:r>
      <w:bookmarkEnd w:id="27"/>
      <w:bookmarkEnd w:id="28"/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Неразделна част от настоящата спецификация са следните приложения:</w:t>
      </w:r>
    </w:p>
    <w:p w:rsidR="0037575F" w:rsidRPr="0037575F" w:rsidRDefault="0037575F" w:rsidP="0037575F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Количествена сметка за изпълнение на строителните дейности;</w:t>
      </w:r>
    </w:p>
    <w:p w:rsidR="0037575F" w:rsidRPr="0037575F" w:rsidRDefault="0037575F" w:rsidP="0037575F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37575F">
        <w:rPr>
          <w:rFonts w:ascii="Trebuchet MS" w:eastAsia="Calibri" w:hAnsi="Trebuchet MS"/>
          <w:sz w:val="22"/>
          <w:szCs w:val="22"/>
          <w:lang w:val="bg-BG" w:eastAsia="en-US"/>
        </w:rPr>
        <w:t>Инвестиционен проект за строежа, вкл. следните части: (1) Архитектурна; (2) Конструкции; (3) Електроинсталации (силнотокова и слаботокова: видеонаблюдение и озвучаване); (4) ВиК инсталации; (5) ОВК инсталации; (6) Енергийна ефективност; (7) Пожарна безопасност; (8) ПУСО; (9) ПБЗ; (10) Геодезия и вертикална планировка.</w:t>
      </w:r>
    </w:p>
    <w:p w:rsidR="0037575F" w:rsidRPr="0037575F" w:rsidRDefault="0037575F" w:rsidP="0037575F">
      <w:pPr>
        <w:spacing w:before="120" w:after="120" w:line="276" w:lineRule="auto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</w:p>
    <w:p w:rsidR="00F165A1" w:rsidRDefault="00F165A1"/>
    <w:sectPr w:rsidR="00F165A1" w:rsidSect="003757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3D" w:rsidRDefault="00BA3E3D" w:rsidP="0037575F">
      <w:r>
        <w:separator/>
      </w:r>
    </w:p>
  </w:endnote>
  <w:endnote w:type="continuationSeparator" w:id="0">
    <w:p w:rsidR="00BA3E3D" w:rsidRDefault="00BA3E3D" w:rsidP="0037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5F" w:rsidRDefault="0037575F" w:rsidP="0037575F">
    <w:pPr>
      <w:pStyle w:val="Footer"/>
      <w:ind w:left="-1417"/>
    </w:pPr>
    <w:r>
      <w:rPr>
        <w:noProof/>
      </w:rPr>
      <w:drawing>
        <wp:inline distT="0" distB="0" distL="0" distR="0" wp14:anchorId="4AF4325D">
          <wp:extent cx="7547610" cy="1798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5F" w:rsidRDefault="0037575F" w:rsidP="0037575F">
    <w:pPr>
      <w:pStyle w:val="Footer"/>
      <w:ind w:left="-1417"/>
    </w:pPr>
    <w:r>
      <w:rPr>
        <w:noProof/>
      </w:rPr>
      <w:drawing>
        <wp:inline distT="0" distB="0" distL="0" distR="0" wp14:anchorId="2B7E021F">
          <wp:extent cx="7547610" cy="179832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3D" w:rsidRDefault="00BA3E3D" w:rsidP="0037575F">
      <w:r>
        <w:separator/>
      </w:r>
    </w:p>
  </w:footnote>
  <w:footnote w:type="continuationSeparator" w:id="0">
    <w:p w:rsidR="00BA3E3D" w:rsidRDefault="00BA3E3D" w:rsidP="0037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5F" w:rsidRPr="0037575F" w:rsidRDefault="0037575F" w:rsidP="0037575F">
    <w:pPr>
      <w:pStyle w:val="Header"/>
      <w:tabs>
        <w:tab w:val="clear" w:pos="9072"/>
      </w:tabs>
      <w:jc w:val="right"/>
      <w:rPr>
        <w:rFonts w:ascii="Trebuchet MS" w:hAnsi="Trebuchet MS"/>
      </w:rPr>
    </w:pPr>
    <w:r w:rsidRPr="00AE7043">
      <w:rPr>
        <w:rFonts w:ascii="Trebuchet MS" w:hAnsi="Trebuchet MS"/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DE170A" wp14:editId="5B26CF25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12700" t="6985" r="1270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75F" w:rsidRPr="00AE7043" w:rsidRDefault="0037575F" w:rsidP="0037575F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37575F" w:rsidRDefault="0037575F" w:rsidP="0037575F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37575F" w:rsidRPr="00AE7043" w:rsidRDefault="0037575F" w:rsidP="0037575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E17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37575F" w:rsidRPr="00AE7043" w:rsidRDefault="0037575F" w:rsidP="0037575F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37575F" w:rsidRDefault="0037575F" w:rsidP="0037575F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37575F" w:rsidRPr="00AE7043" w:rsidRDefault="0037575F" w:rsidP="0037575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Trebuchet MS" w:hAnsi="Trebuchet MS"/>
        </w:rPr>
        <w:id w:val="15178872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7575F">
          <w:rPr>
            <w:rFonts w:ascii="Trebuchet MS" w:hAnsi="Trebuchet MS"/>
          </w:rPr>
          <w:fldChar w:fldCharType="begin"/>
        </w:r>
        <w:r w:rsidRPr="0037575F">
          <w:rPr>
            <w:rFonts w:ascii="Trebuchet MS" w:hAnsi="Trebuchet MS"/>
          </w:rPr>
          <w:instrText xml:space="preserve"> PAGE   \* MERGEFORMAT </w:instrText>
        </w:r>
        <w:r w:rsidRPr="0037575F">
          <w:rPr>
            <w:rFonts w:ascii="Trebuchet MS" w:hAnsi="Trebuchet MS"/>
          </w:rPr>
          <w:fldChar w:fldCharType="separate"/>
        </w:r>
        <w:r w:rsidR="00A93A60">
          <w:rPr>
            <w:rFonts w:ascii="Trebuchet MS" w:hAnsi="Trebuchet MS"/>
            <w:noProof/>
          </w:rPr>
          <w:t>2</w:t>
        </w:r>
        <w:r w:rsidRPr="0037575F">
          <w:rPr>
            <w:rFonts w:ascii="Trebuchet MS" w:hAnsi="Trebuchet MS"/>
            <w:noProof/>
          </w:rPr>
          <w:fldChar w:fldCharType="end"/>
        </w:r>
      </w:sdtContent>
    </w:sdt>
  </w:p>
  <w:p w:rsidR="0037575F" w:rsidRDefault="00375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5F" w:rsidRDefault="0037575F" w:rsidP="0037575F">
    <w:pPr>
      <w:pStyle w:val="Header"/>
      <w:ind w:hanging="1417"/>
    </w:pPr>
    <w:r>
      <w:rPr>
        <w:noProof/>
      </w:rPr>
      <w:drawing>
        <wp:inline distT="0" distB="0" distL="0" distR="0" wp14:anchorId="691C454A">
          <wp:extent cx="7541260" cy="13595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5F"/>
    <w:rsid w:val="0037575F"/>
    <w:rsid w:val="00790B81"/>
    <w:rsid w:val="00A93A60"/>
    <w:rsid w:val="00BA3E3D"/>
    <w:rsid w:val="00DF3B04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CA895"/>
  <w15:chartTrackingRefBased/>
  <w15:docId w15:val="{3F3CD578-E374-45F4-B520-C06944D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75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37575F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93A60"/>
    <w:pPr>
      <w:tabs>
        <w:tab w:val="left" w:pos="660"/>
        <w:tab w:val="right" w:leader="dot" w:pos="9062"/>
      </w:tabs>
      <w:spacing w:before="240" w:after="240"/>
      <w:ind w:left="240"/>
    </w:pPr>
    <w:rPr>
      <w:rFonts w:ascii="Trebuchet MS" w:hAnsi="Trebuchet MS"/>
      <w:b/>
      <w:smallCaps/>
      <w:noProof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37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8899-B866-4502-BC9E-399E5D57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2018-02-04T14:26:00Z</dcterms:created>
  <dcterms:modified xsi:type="dcterms:W3CDTF">2018-02-04T14:36:00Z</dcterms:modified>
</cp:coreProperties>
</file>