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AF" w:rsidRPr="005078AF" w:rsidRDefault="005078AF" w:rsidP="005078AF">
      <w:pPr>
        <w:widowControl w:val="0"/>
        <w:autoSpaceDE w:val="0"/>
        <w:autoSpaceDN w:val="0"/>
        <w:spacing w:before="90" w:after="0"/>
        <w:ind w:right="-427" w:firstLine="567"/>
        <w:jc w:val="center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bookmarkStart w:id="0" w:name="_GoBack"/>
      <w:bookmarkEnd w:id="0"/>
      <w:r w:rsidRPr="005078AF">
        <w:rPr>
          <w:rFonts w:ascii="Times New Roman" w:eastAsia="Times New Roman" w:hAnsi="Times New Roman" w:cs="Times New Roman"/>
          <w:b/>
          <w:sz w:val="24"/>
          <w:lang w:val="en-US" w:eastAsia="en-US"/>
        </w:rPr>
        <w:t>ЧАСТ І. ТЕХНИЧЕСКА СПЕЦИФИКАЦИЯ</w:t>
      </w:r>
    </w:p>
    <w:p w:rsidR="005078AF" w:rsidRPr="005078AF" w:rsidRDefault="005078AF" w:rsidP="005078AF">
      <w:pPr>
        <w:widowControl w:val="0"/>
        <w:autoSpaceDE w:val="0"/>
        <w:autoSpaceDN w:val="0"/>
        <w:spacing w:before="10" w:after="0"/>
        <w:ind w:right="-427" w:firstLine="567"/>
        <w:rPr>
          <w:rFonts w:ascii="Times New Roman" w:eastAsia="Times New Roman" w:hAnsi="Times New Roman" w:cs="Times New Roman"/>
          <w:b/>
          <w:sz w:val="25"/>
          <w:szCs w:val="24"/>
          <w:lang w:val="en-US" w:eastAsia="en-US"/>
        </w:rPr>
      </w:pPr>
    </w:p>
    <w:p w:rsidR="005078AF" w:rsidRPr="005078AF" w:rsidRDefault="005078AF" w:rsidP="005078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lang w:val="en-US" w:eastAsia="en-US"/>
        </w:rPr>
        <w:t>ВЪЗЛОЖИТЕЛ</w:t>
      </w:r>
    </w:p>
    <w:p w:rsidR="005078AF" w:rsidRPr="005078AF" w:rsidRDefault="005078AF" w:rsidP="005078AF">
      <w:pPr>
        <w:widowControl w:val="0"/>
        <w:autoSpaceDE w:val="0"/>
        <w:autoSpaceDN w:val="0"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Възложител на настоящата обществена поръчка е 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Кметът на община Шабла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- публичен възложител на основание чл. 5, ал. 2, т. 9 ЗОП.</w:t>
      </w:r>
    </w:p>
    <w:p w:rsidR="005078AF" w:rsidRPr="005078AF" w:rsidRDefault="005078AF" w:rsidP="005078A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before="169" w:after="0" w:line="240" w:lineRule="auto"/>
        <w:ind w:left="0" w:right="-4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ОБЕКТ И ПРЕДМЕТ НА ОБЩЕСТВЕНАТА</w:t>
      </w:r>
      <w:r w:rsidRPr="005078A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ПОРЪЧКА</w:t>
      </w:r>
    </w:p>
    <w:p w:rsidR="005078AF" w:rsidRPr="005078AF" w:rsidRDefault="005078AF" w:rsidP="005078AF">
      <w:pPr>
        <w:widowControl w:val="0"/>
        <w:autoSpaceDE w:val="0"/>
        <w:autoSpaceDN w:val="0"/>
        <w:spacing w:after="0"/>
        <w:ind w:right="-427"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Обект на настоящата обществена поръчка е осъществяване на услуга по смисъла на чл. 3, ал. 1, т. 3 от ЗОП.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Предмет на обществената поръчка е осъществяване на строителен надзор и извършване на проверка и контрол на доставените и влагани в строежа строителни продукти, съгласно изискванията и в обема, предвиден в чл. 166 и чл. 168 от Закона за устройство на територията.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Обектът, за който ще се осъществява строителен надзор се финансира от Програмата за развитие на селските райони за периода 2014-2020 г., съфинансирана от Европейския земеделски фонд за развитие на селските райони,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райони“, а именно: 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Реконструкция, ремонт, оборудване и обзавеждане на общинска образователна инфраструктура – Детска градина „Дора Габе“, гр. Шабла, община Шабла.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За реализацията на Проекта е сключен Договор за отпускане на БФП № 08/07/2/0/00600/08.02.2018 г.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 между ДЪРЖАВЕН ФОНД „ЗЕМЕДЕЛИЕ“  и от друга страна Община 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Шабла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</w:p>
    <w:p w:rsidR="005078AF" w:rsidRPr="005078AF" w:rsidRDefault="005078AF" w:rsidP="005078A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before="174" w:after="0" w:line="240" w:lineRule="auto"/>
        <w:ind w:left="0" w:right="-4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ПРОГНОЗНА</w:t>
      </w:r>
      <w:r w:rsidRPr="005078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СТОЙНОСТ</w:t>
      </w:r>
    </w:p>
    <w:p w:rsidR="005078AF" w:rsidRPr="005078AF" w:rsidRDefault="005078AF" w:rsidP="005078AF">
      <w:pPr>
        <w:widowControl w:val="0"/>
        <w:autoSpaceDE w:val="0"/>
        <w:autoSpaceDN w:val="0"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Прогнозната стойност на обществената поръчка е 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18 902.67 лева /осемнадесет хиляди деветстотин и два лева и 0.67 ст./ без ДДС.</w:t>
      </w:r>
    </w:p>
    <w:p w:rsidR="005078AF" w:rsidRPr="005078AF" w:rsidRDefault="005078AF" w:rsidP="005078A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spacing w:before="240" w:after="0" w:line="240" w:lineRule="auto"/>
        <w:ind w:left="0" w:right="-4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СРОК ЗА ИЗПЪЛНЕНИЕ</w:t>
      </w:r>
    </w:p>
    <w:p w:rsidR="005078AF" w:rsidRPr="005078AF" w:rsidRDefault="005078AF" w:rsidP="005078AF">
      <w:pPr>
        <w:widowControl w:val="0"/>
        <w:autoSpaceDE w:val="0"/>
        <w:autoSpaceDN w:val="0"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Срокът за изпълнение е до въвеждане на обекта в експлоатация, като се предвижда срокът за извършване на строително-монтажните работи да бъде не повече от 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6 (шест) месеца,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считано от датата на възлагане на обществената поръчка за извършване на СМР. </w:t>
      </w:r>
    </w:p>
    <w:p w:rsidR="005078AF" w:rsidRPr="005078AF" w:rsidRDefault="005078AF" w:rsidP="005078AF">
      <w:pPr>
        <w:widowControl w:val="0"/>
        <w:autoSpaceDE w:val="0"/>
        <w:autoSpaceDN w:val="0"/>
        <w:spacing w:before="4" w:after="0"/>
        <w:ind w:right="-427"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5078AF" w:rsidRPr="005078AF" w:rsidRDefault="005078AF" w:rsidP="005078AF">
      <w:pPr>
        <w:widowControl w:val="0"/>
        <w:tabs>
          <w:tab w:val="left" w:pos="1197"/>
        </w:tabs>
        <w:autoSpaceDE w:val="0"/>
        <w:autoSpaceDN w:val="0"/>
        <w:spacing w:before="1" w:after="0"/>
        <w:ind w:right="-42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5.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МЯСТО НА</w:t>
      </w:r>
      <w:r w:rsidRPr="005078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ИЗПЪЛНЕНИЕ</w:t>
      </w:r>
    </w:p>
    <w:p w:rsidR="005078AF" w:rsidRPr="005078AF" w:rsidRDefault="005078AF" w:rsidP="005078AF">
      <w:pPr>
        <w:widowControl w:val="0"/>
        <w:autoSpaceDE w:val="0"/>
        <w:autoSpaceDN w:val="0"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Съществената част от обществената поръчка ще се изпълнява на територията на Република България, гр. Шабла, административните помещения на Възложителя и офис помещенията на избрания изпълнител.</w:t>
      </w:r>
    </w:p>
    <w:p w:rsidR="005078AF" w:rsidRPr="005078AF" w:rsidRDefault="005078AF" w:rsidP="005078AF">
      <w:pPr>
        <w:widowControl w:val="0"/>
        <w:autoSpaceDE w:val="0"/>
        <w:autoSpaceDN w:val="0"/>
        <w:spacing w:before="11" w:after="0"/>
        <w:ind w:right="-427"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5078AF" w:rsidRPr="005078AF" w:rsidRDefault="005078AF" w:rsidP="005078AF">
      <w:pPr>
        <w:widowControl w:val="0"/>
        <w:tabs>
          <w:tab w:val="left" w:pos="0"/>
        </w:tabs>
        <w:autoSpaceDE w:val="0"/>
        <w:autoSpaceDN w:val="0"/>
        <w:spacing w:after="0"/>
        <w:ind w:right="-4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6.  ОРГАНИ, ОТ КОИТО МОЖЕ ДА СЕ ПОЛУЧИ</w:t>
      </w:r>
      <w:r w:rsidRPr="005078A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ИНФОРМАЦИЯ</w:t>
      </w:r>
    </w:p>
    <w:p w:rsidR="005078AF" w:rsidRPr="005078AF" w:rsidRDefault="005078AF" w:rsidP="005078AF">
      <w:pPr>
        <w:widowControl w:val="0"/>
        <w:autoSpaceDE w:val="0"/>
        <w:autoSpaceDN w:val="0"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Органите, от които участниците могат да получат необходимата информация за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задълженията, свързани с данъци и осигуровки, със закрила на заетостта, условията на труд и опазване на околната среда, които са в сила в Република България, където трябва да се извърши строителният надзор са НАП, НОИ, Агенция по заетостта, Изпълнителна агенция „Главна инспекция по труда“ и Министерството на околната среда и водите.</w:t>
      </w:r>
    </w:p>
    <w:p w:rsidR="005078AF" w:rsidRPr="005078AF" w:rsidRDefault="005078AF" w:rsidP="005078AF">
      <w:pPr>
        <w:widowControl w:val="0"/>
        <w:tabs>
          <w:tab w:val="left" w:pos="1197"/>
        </w:tabs>
        <w:autoSpaceDE w:val="0"/>
        <w:autoSpaceDN w:val="0"/>
        <w:spacing w:after="0"/>
        <w:ind w:right="-42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078AF" w:rsidRPr="005078AF" w:rsidRDefault="005078AF" w:rsidP="005078AF">
      <w:pPr>
        <w:widowControl w:val="0"/>
        <w:tabs>
          <w:tab w:val="left" w:pos="1197"/>
        </w:tabs>
        <w:autoSpaceDE w:val="0"/>
        <w:autoSpaceDN w:val="0"/>
        <w:spacing w:after="0"/>
        <w:ind w:right="-427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  </w:t>
      </w:r>
      <w:r w:rsidRPr="005078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ОПИСАНИЕ НА КОНКРЕТНИТЕ ДЕЙНОСТИ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0"/>
          <w:lang w:val="ru-RU" w:eastAsia="en-US"/>
        </w:rPr>
        <w:t>7</w:t>
      </w:r>
      <w:r w:rsidRPr="005078A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.1. Информация за обекта на строителство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Обектът е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категория, съгласно чл. 137, ал. 1, т. 4, буква „д“ от ЗУТ 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за него има издадено и влязло в сила Разрешение за строеж № 32/29.09.2016 г. 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7.1.1. 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Съществуващо положение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Целодневната детска градина в гр. Шабла, се намира на ул. „Марица” № 6, и заема собствен парцел (УПИ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XIII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-630,  кв. 36.), с площ 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 5670 кв. м., ограничен от 4-и улици, в близост до централната градска част. Сградата е ориентирана към  благоприятните посоки – юг и изток, за двата основни функционални блока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В.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Открита през 1975 година и е изпълнена като типов проект за 6 групи деца/ 4-6 години, по монтажна, стоманобетонова конструктивна система (СКС УС Е1-72), подови панели „Спирол”, монолитни стени 25 см и плоска покривна конструкция. Обемно-пространствената композиция, представлява блокова схема от 5 тела /блокове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А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Б, В, Г, Д и Е, с височина от 1-н до 2-а етажа, които оформят два вътрешни, открити двора, достъпни от блок Г/ топла връзка, решена, като двустранно остъклена галерия. Осигурени са съответно 3 входа за достъп, както и 3 отделни стълбища към двуетажните блокове – А, Б и В. 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Функционалното предназначение на обособените блокове е: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 /стопанско-битов/ котелно + перално;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Б и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/занимални + спални деца/;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Г /административно-битов/;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 /спомагателно-складов/;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 /топла връзка между блокове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Г/.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През 2005 година е извършена реконструкция на сградата, след спечелен от общината проект “Основен ремонт и реконструкция на ЦДГ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Дора Габе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гр. Шабла/ арх. Веков с колектив,  финансиран от Социално-инвестиционния фонд на МТСГ. Извършено е цялостно обновяване и модернизиране на обекта, което включва следното: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-Конструктивно укрепване на сградата;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-Надграждане на плоското покривно покритие със скатна, дървена покривна конструкция и покритие от вълнообразен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Ondoline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-Покриване на откритите тераси на блокове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В с полупрозрачно, вълнообразно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PVC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-покритие;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-Замяна на дървен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та, с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PVC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 дограма и стъклопакет/ частично; 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-Подмяна на цялостно вътрешно обзавеждане и оборудване; 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-Оформяне на интериорите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-Реновация на всички фасади. 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Оценка на състоянието: Сградата е 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много добро физическо състояние, след реконструкция от 2005 г., с изключение на: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-Покривното покритие на всички блокове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/А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Б, В, Г, Д и Е/, изпълнено от вълнообразен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Ondoline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силно амортизиран, след изтичане на  гаранционния му срок от 10 години, през 2015;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-Конструкцията и покривното покритие от вълнообразни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PVC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-плоскости, на откритите тераси на блокове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В, са деформирани и амортизирани;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-Фасадната и цялостната топлоизолация на сградата е недостатъчна, според действащите норми /Наредба № 7/2004 за енергийна ефективност, топлосъхранение и икономия на топлоенергия/ МРРБ;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-Технологичното обзавеждане на кухнята е амортизирано и липсва подвижно обзавеждане на занималните и спалните на две от групите;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-Липсва многофункционална зала за музикални, артистични и др. занимания и събития;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-Дворното пространство е неефективно организирано и детските площадки са недостатъчни и съоръженията за игра са амортизирани;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-Архитектурния образа на градината е безличен и неотговаря на предназначението си.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Предмет на проекта е: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- </w:t>
      </w:r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Цялостната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реконструкция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на покривната конструкция и покривното покритие, на фасадите, с топлоизолация, включително на покрива;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- Частично преустройство, реновация и обзавеждане на блокове</w:t>
      </w:r>
      <w:proofErr w:type="gramStart"/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, В, Г и Е;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- Нова планировка на двора с открит амфитеатър, 6-т детски площадки, спортен сектор, ново обзавеждане и оборудване;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-  Реновация на оградите на двора/ УПИ.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Цел на проекта: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-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Да се осигури надеждна и трайна хидроизолация на покрива;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Да се подобри топлотехническата характеристика на цялата сграда;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Да се разшири функционалния спектър от дейности;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Да се поднови технологичното и подвижно обзавеждане;</w:t>
      </w:r>
    </w:p>
    <w:p w:rsidR="005078AF" w:rsidRPr="005078AF" w:rsidRDefault="005078AF" w:rsidP="005078AF">
      <w:pPr>
        <w:suppressAutoHyphens/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Да се  и оптимизира архитектурен образ, предвид предназначението.</w:t>
      </w:r>
    </w:p>
    <w:p w:rsidR="005078AF" w:rsidRPr="005078AF" w:rsidRDefault="005078AF" w:rsidP="005078AF">
      <w:pPr>
        <w:spacing w:after="160"/>
        <w:ind w:right="-42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7.1.2. 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Проектно решение – предвижда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 се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следните видове намеса: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-Демонтаж на съществуващата покривна, дървена конструкция и преработка за новия вид покривен материа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л-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керамични керемиди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Bramac</w:t>
      </w:r>
      <w:r w:rsidRPr="00507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или еквивалент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-Запазване конфигурацията на скатните покрития/ дв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у-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и четири скатни и  увеличаване наклона на скатните равнини от 13°/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О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ndoline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на 25°, оптимален за керемиди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Bramac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или еквивалент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-Подмяна на лекото покритие от вълннобразни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PVC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 плоскости, на откритите тераси на блок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В, с траен материал/ керемиди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Bramac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чрез удължаване на скатната повърхнина, като конзолна стреха;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 xml:space="preserve">-Топлоизолация на цялата, хоризонтална покривна равнина на сградата, съобразно детайл за 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студен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/ вентилируем покрив, на новия завишен, покривен обем, по отделен проект/ ТТЕ;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-Преустройство на 1-и етаж на блок В за многофункционална/ актова зала за около 100 места, с флексибилен подиум, фоайе и санитарен сектор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,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вкл. за хора с ограничена подвижност и достъп до вътрешния двор, неизползваем сега;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-Осигуряване на достъпна среда за цялата сграда;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-Частично преустройство на кухненски тракт/ Блок Г и ново технологично обзавеждане; 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-Ремонт на съществуващите парапети на откритите тераси/ блокове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В;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-Цялостна фасадна реновация на блокове А–Е, облицовка с траен материал, керамични плочи </w:t>
      </w:r>
      <w:proofErr w:type="gramStart"/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МО</w:t>
      </w:r>
      <w:proofErr w:type="gramEnd"/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EDING</w:t>
      </w:r>
      <w:r w:rsidRPr="005078A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или еквивалент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-Изграждане на открит амфитеатър и детска площадка за деца под 3 г. в междублоковите пространства/ А-Б и Б-В;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-Организиране на 6-т нови детски площадки с типово обзавеждане;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-Живописна препланировка на свободното дворно пространство с обиколна велоалея, спортен сектор, учебни сектори за цветя и зеленчуци, полигон за безопасносност на движението;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-Реновация на оградите, към улицата и към съседните парцели.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 Описание на</w:t>
      </w:r>
      <w:r w:rsidRPr="005078A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дейностите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троителен надзор по време на строителството, съгласно чл.168 от ЗУТ, включително като се контролират количеството и качеството на влаганите строителни продукти за спазване на техническите спецификации за изпълнение на СМР, цялостна координация на строителния процес, изготвяне на окончателен доклад по смисъла на чл. 168, ал. 6 от ЗУТ, изготвяне на технически паспорти, съгласно Наредба № 5 от 28.12.2006 г. и чл.176а и 176б от ЗУТ и въвеждане на обект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експлоатация, съобразно издаден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разрешени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 строеж, от датата на започване на строителството до въвеждане на обект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експлоатация, и с отговорност относно: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7.2.1.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Законосъобразното започване на строежа;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7.2.2.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съществяване на контрол относно пълнота и правилно съставяне на актовете и протоколите по време на строителството, съгласно Наредба № 3/ 2003 год. на МРРБ;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7.2.3.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Изпълнението на строежа съобразно одобрените инвестиционни проекти и в съответствие с изискванията (по чл. 169, ал. 1 и ал. 2 на ЗУТ) на нормативните актове и техническите спецификации за СМР;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7.2.4.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Контрол при влагането на строителните продукти и материали, оценени за съответствието им със съществените изисквания към строежите и съответствието им съгласно Наредба № РД-02-20-1 от 05.02.2015 год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 условията и реда за влагане на строителните продукти в строежите на Република България;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7.2.5.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Контрол на количествата, качеството и съответствието на изпълняваните строителни и монтажни работи и влаганите материали с договора за изпълнение на строителството;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lastRenderedPageBreak/>
        <w:t>7.2.6.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Осъществяване на контрол относно спазването на изискванията за здравословни и безопасни условия на труд в строителството;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7.2.7.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Недопускане на увреждане на трети лица и имоти вследствие на строителството;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7.2.8.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Проверка на годността на строежа за въвеждане в експлоатация;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7.2.9.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Проверка и подписване актовете за изпълнение на СМР, с които се документира количеството, качеството и стойността на извършените СМР на строежа;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7.2.10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Даване при необходимост писмени указания за точно и качествено изпълнение на СМР и вземане технически решения, които не водят до изменение на проекта и са в обхвата на отговорността му;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7.2.11.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Уведомяване регионалната дирекция за национален строителен контрол, при установяване на нарушаване на техническите правила и нормативи в 3- дневен срок от установяване на нарушението;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7.2.12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Актуализиране на техническия паспорт след приключване на строителн</w:t>
      </w:r>
      <w:proofErr w:type="gramStart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о-</w:t>
      </w:r>
      <w:proofErr w:type="gramEnd"/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монтажните работи на обекта;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7.2.13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След приключване на строително-монтажните работи – представяне на окончателен доклад по чл. 168, ал. 6 от ЗУТ на възложителя. Докладът се съставя, подписва и подпечатва от изпълнителя и от квалифицираните лица на консултантската фирма.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7.2.14.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Окомплектоване цялата документация, необходима на възложителя за приемането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на обекта от ДНСК.</w:t>
      </w:r>
    </w:p>
    <w:p w:rsidR="005078AF" w:rsidRPr="005078AF" w:rsidRDefault="005078AF" w:rsidP="005078AF">
      <w:pPr>
        <w:keepNext/>
        <w:spacing w:after="0"/>
        <w:ind w:right="-42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507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Докладът съдържа задължително оценка за изпълнението на следните условия: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законосъобразно започване и изпълнение на строеж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съобразно одобрените проекти и условията на издадените разрешения за</w:t>
      </w:r>
      <w:r w:rsidRPr="005078A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ar-SA"/>
        </w:rPr>
        <w:t xml:space="preserve">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строеж;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пълнота и правилно съставяне на актове и протоколи по време на строителството;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изпълнение на строеж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съобразно изискванията по чл. 169, ал. 1 и 2</w:t>
      </w:r>
      <w:r w:rsidRPr="005078AF">
        <w:rPr>
          <w:rFonts w:ascii="Times New Roman" w:eastAsia="Times New Roman" w:hAnsi="Times New Roman" w:cs="Times New Roman"/>
          <w:spacing w:val="-20"/>
          <w:sz w:val="24"/>
          <w:szCs w:val="24"/>
          <w:lang w:val="ru-RU" w:eastAsia="ar-SA"/>
        </w:rPr>
        <w:t xml:space="preserve">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ЗУТ.</w:t>
      </w:r>
    </w:p>
    <w:p w:rsidR="005078AF" w:rsidRPr="005078AF" w:rsidRDefault="005078AF" w:rsidP="005078AF">
      <w:pPr>
        <w:keepNext/>
        <w:spacing w:after="0"/>
        <w:ind w:right="-427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507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В доклада се вписват: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основание за издаването му, дата на съставяне, договорът с възложителя, номер и дата на лиценз/удостоверение, квалифицираните специалисти, съгласно заверения списък, актуална регистрация, седалище, адрес на управление на юридическото лице, от кого се представлява и управлява;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всички съставени по време на строителството документи, актове, протоколи, дневници, заповедни книги и други строителни книжа, с посочени номера и дати на съставяне (изпълнение на съответен вид строителни и монтажни работи);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договори с експлоатационните дружества за присъединяване към мрежите на техническата инфраструктура;</w:t>
      </w:r>
    </w:p>
    <w:p w:rsidR="005078AF" w:rsidRPr="005078AF" w:rsidRDefault="005078AF" w:rsidP="005078AF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издадени наказателни постановления, квитанции за платени глоби и имуществени санкции, ако има такива.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Участие в инвеститорския контрол от страна на участника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избран за изпълнител, като: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7.2.15.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Осъществява цялостен контрол върху дейността на всички участници в изпълнението на договора – проектанти, строители, трети лица и докладва на възложителя при установени проблеми, неизпълнение или забавено изпълнение в техните задължения;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7.2.16. </w:t>
      </w:r>
      <w:r w:rsidRPr="005078A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Контролира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цялостното изпълнение на договора, следи за спазване на графика за изпълнение на строителството, крайния срок и междинните срокове за предаване на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извършени видове работи, установява рискове от забава и предлага мерки на възложителя за компенсирането им;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7.2.17.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Следи процеса по съгласувания, издаване на разрешения и други необходими от законодателна гледна точка одобрения, изискуеми при въвеждане на обекта в експлоатация. Докладва периодично на възложителя при установени проблеми и предлага мерки за преодоляването им;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7.2.18.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Следи изпълнението на бюджета по договора, дава становища по претенции на изпълнителя за заплащане на допълнителни видове работи, прави предложения и/или дава становища, при необходимост за изменения в КСС;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7.2.19.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Участва в приемането на строителните материали и упражнява контрол за спазване на изискванията на техническата спецификация и предвижданията на инвестиционния проект;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7.2.20.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Участва от името на възложителя и оказва съдействие на неговите представители при приемането на СМР, актуване на видовете работи, измерване и остойностяване на приетите количества, проверява съставените актове и следи за съответствието им с изискванията на договора и техническите спецификации. Дава становище по изпълнените СМР и съгласува съставените по време на строителството актове, като проверява тяхното съответствие  освен със законовите изисквания, и с изискванията на възложителя, Управляващия орган на финансиращата програма, вътрешни правила, указания и разпоредби, които имат отношение към изпълнението на СМР.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7.2.21.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Извършва цялостен контрол за спазване изискванията на УО по отношение допустимост на дейности, разходи, документиране на разходите, приемане на работите, изисквания за публичност на мястото на изпълнение на строителството и други;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7.2.22.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Участва в срещи с представители на другите участници в строителството, контролни, одитни органи или представители от страна на УО;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078AF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7.2.23. </w:t>
      </w:r>
      <w:r w:rsidRPr="005078A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Оказва съдействие при последващи проверки на място, ако въпросите, които са обект на проверка са в неговата компетентност.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78AF">
        <w:rPr>
          <w:rFonts w:ascii="Times New Roman" w:eastAsia="Calibri" w:hAnsi="Times New Roman" w:cs="Times New Roman"/>
          <w:sz w:val="24"/>
          <w:szCs w:val="24"/>
          <w:lang w:eastAsia="en-US"/>
        </w:rPr>
        <w:t>Изпълнението на инвеститорския контрол се извършва съвместно с представителите на възложителя, по координиран график и програма с тях. Резултатите се докладват периодично – веднъж месечно и всеки път, когато се констатират проблеми, които изискват действия от страна на възложителя или негови представители.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78AF">
        <w:rPr>
          <w:rFonts w:ascii="Times New Roman" w:eastAsia="Calibri" w:hAnsi="Times New Roman" w:cs="Times New Roman"/>
          <w:sz w:val="24"/>
          <w:szCs w:val="24"/>
          <w:lang w:eastAsia="en-US"/>
        </w:rPr>
        <w:t>Изпълнението на поръчката трябва да е съобразено с техническите и законови разпоредби, с техническите правила и норми, действащи в Република България.</w:t>
      </w:r>
    </w:p>
    <w:p w:rsidR="005078AF" w:rsidRPr="005078AF" w:rsidRDefault="005078AF" w:rsidP="005078AF">
      <w:pPr>
        <w:spacing w:after="0"/>
        <w:ind w:right="-427" w:firstLine="56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078A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Участниците да изпълняват условията съгласно чл. 160, чл. 166 - чл. 176 б от Закона за устройство на територията.</w:t>
      </w:r>
    </w:p>
    <w:p w:rsidR="00082ECF" w:rsidRDefault="00082ECF"/>
    <w:sectPr w:rsidR="00082ECF" w:rsidSect="00D9455B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2B" w:rsidRDefault="00EF572B" w:rsidP="005078AF">
      <w:pPr>
        <w:spacing w:after="0" w:line="240" w:lineRule="auto"/>
      </w:pPr>
      <w:r>
        <w:separator/>
      </w:r>
    </w:p>
  </w:endnote>
  <w:endnote w:type="continuationSeparator" w:id="0">
    <w:p w:rsidR="00EF572B" w:rsidRDefault="00EF572B" w:rsidP="005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5B" w:rsidRPr="00D9455B" w:rsidRDefault="00D9455B" w:rsidP="00D9455B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en-US" w:eastAsia="en-US"/>
      </w:rPr>
    </w:pPr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D9455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D9455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D9455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D9455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r w:rsidRPr="00D9455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</w:hyperlink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</w:t>
    </w:r>
    <w:r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------------------------------</w:t>
    </w:r>
  </w:p>
  <w:p w:rsidR="00D9455B" w:rsidRPr="00D9455B" w:rsidRDefault="00D9455B" w:rsidP="00D9455B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sz w:val="18"/>
        <w:szCs w:val="18"/>
        <w:lang w:val="ru-RU" w:eastAsia="en-US"/>
      </w:rPr>
    </w:pPr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</w:r>
    <w:proofErr w:type="gram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,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ф</w:t>
    </w:r>
    <w:proofErr w:type="gram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инансиран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от Програма за развитие на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селските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райони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, съфинансирана от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Европейския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съюз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чрез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Европейския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земеделски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селските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райони</w:t>
    </w:r>
    <w:proofErr w:type="spellEnd"/>
    <w:r w:rsidRPr="00D9455B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.</w:t>
    </w:r>
  </w:p>
  <w:p w:rsidR="00D9455B" w:rsidRPr="00D9455B" w:rsidRDefault="00D9455B" w:rsidP="00D9455B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lang w:val="en-US" w:eastAsia="en-US"/>
      </w:rPr>
    </w:pPr>
    <w:r w:rsidRPr="00D9455B">
      <w:rPr>
        <w:rFonts w:ascii="Times New Roman" w:eastAsia="Times New Roman" w:hAnsi="Times New Roman" w:cs="Times New Roman"/>
        <w:b/>
        <w:lang w:val="en-US" w:eastAsia="en-US"/>
      </w:rPr>
      <w:fldChar w:fldCharType="begin"/>
    </w:r>
    <w:r w:rsidRPr="00D9455B">
      <w:rPr>
        <w:rFonts w:ascii="Times New Roman" w:eastAsia="Times New Roman" w:hAnsi="Times New Roman" w:cs="Times New Roman"/>
        <w:b/>
        <w:lang w:val="en-US" w:eastAsia="en-US"/>
      </w:rPr>
      <w:instrText>PAGE   \* MERGEFORMAT</w:instrText>
    </w:r>
    <w:r w:rsidRPr="00D9455B">
      <w:rPr>
        <w:rFonts w:ascii="Times New Roman" w:eastAsia="Times New Roman" w:hAnsi="Times New Roman" w:cs="Times New Roman"/>
        <w:b/>
        <w:lang w:val="en-US" w:eastAsia="en-US"/>
      </w:rPr>
      <w:fldChar w:fldCharType="separate"/>
    </w:r>
    <w:r w:rsidR="00A50AAF" w:rsidRPr="00A50AAF">
      <w:rPr>
        <w:rFonts w:ascii="Times New Roman" w:eastAsia="Times New Roman" w:hAnsi="Times New Roman" w:cs="Times New Roman"/>
        <w:b/>
        <w:noProof/>
        <w:lang w:eastAsia="en-US"/>
      </w:rPr>
      <w:t>1</w:t>
    </w:r>
    <w:r w:rsidRPr="00D9455B">
      <w:rPr>
        <w:rFonts w:ascii="Times New Roman" w:eastAsia="Times New Roman" w:hAnsi="Times New Roman" w:cs="Times New Roman"/>
        <w:b/>
        <w:lang w:val="en-US" w:eastAsia="en-US"/>
      </w:rPr>
      <w:fldChar w:fldCharType="end"/>
    </w:r>
  </w:p>
  <w:p w:rsidR="00D9455B" w:rsidRPr="00D9455B" w:rsidRDefault="00D9455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2B" w:rsidRDefault="00EF572B" w:rsidP="005078AF">
      <w:pPr>
        <w:spacing w:after="0" w:line="240" w:lineRule="auto"/>
      </w:pPr>
      <w:r>
        <w:separator/>
      </w:r>
    </w:p>
  </w:footnote>
  <w:footnote w:type="continuationSeparator" w:id="0">
    <w:p w:rsidR="00EF572B" w:rsidRDefault="00EF572B" w:rsidP="005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5B" w:rsidRPr="00D9455B" w:rsidRDefault="00D9455B" w:rsidP="00D9455B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D9455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285719D" wp14:editId="14645A05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1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55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8DE3E51" wp14:editId="310994B9">
          <wp:extent cx="2305685" cy="78740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55B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D9455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79B5B3E" wp14:editId="7E0831C9">
          <wp:extent cx="1781175" cy="715645"/>
          <wp:effectExtent l="0" t="0" r="0" b="8255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55B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D9455B" w:rsidRPr="00D9455B" w:rsidRDefault="00D9455B" w:rsidP="00D9455B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D9455B" w:rsidRPr="00D9455B" w:rsidRDefault="00D9455B" w:rsidP="00D9455B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D9455B" w:rsidRPr="00D9455B" w:rsidRDefault="00D9455B" w:rsidP="00D9455B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D9455B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EB"/>
    <w:multiLevelType w:val="hybridMultilevel"/>
    <w:tmpl w:val="4300BE8C"/>
    <w:lvl w:ilvl="0" w:tplc="959C10B6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88BD2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FCBC74F2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0C5A4B6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9446344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B8C047E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72E7E0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68C003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BA23E6E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F"/>
    <w:rsid w:val="00082ECF"/>
    <w:rsid w:val="005078AF"/>
    <w:rsid w:val="00A50AAF"/>
    <w:rsid w:val="00C77B1F"/>
    <w:rsid w:val="00D9455B"/>
    <w:rsid w:val="00EF572B"/>
    <w:rsid w:val="00F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078AF"/>
  </w:style>
  <w:style w:type="paragraph" w:styleId="a5">
    <w:name w:val="footer"/>
    <w:basedOn w:val="a"/>
    <w:link w:val="a6"/>
    <w:uiPriority w:val="99"/>
    <w:unhideWhenUsed/>
    <w:rsid w:val="005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078AF"/>
  </w:style>
  <w:style w:type="paragraph" w:styleId="a7">
    <w:name w:val="Balloon Text"/>
    <w:basedOn w:val="a"/>
    <w:link w:val="a8"/>
    <w:uiPriority w:val="99"/>
    <w:semiHidden/>
    <w:unhideWhenUsed/>
    <w:rsid w:val="00D9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078AF"/>
  </w:style>
  <w:style w:type="paragraph" w:styleId="a5">
    <w:name w:val="footer"/>
    <w:basedOn w:val="a"/>
    <w:link w:val="a6"/>
    <w:uiPriority w:val="99"/>
    <w:unhideWhenUsed/>
    <w:rsid w:val="005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078AF"/>
  </w:style>
  <w:style w:type="paragraph" w:styleId="a7">
    <w:name w:val="Balloon Text"/>
    <w:basedOn w:val="a"/>
    <w:link w:val="a8"/>
    <w:uiPriority w:val="99"/>
    <w:semiHidden/>
    <w:unhideWhenUsed/>
    <w:rsid w:val="00D9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2018-05-29T08:17:00Z</dcterms:created>
  <dcterms:modified xsi:type="dcterms:W3CDTF">2018-06-07T13:21:00Z</dcterms:modified>
</cp:coreProperties>
</file>