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0266ED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en-US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  <w:r w:rsidR="000266ED">
        <w:rPr>
          <w:rFonts w:ascii="Trebuchet MS" w:hAnsi="Trebuchet MS" w:cs="Times New Roman"/>
          <w:b/>
          <w:i/>
          <w:sz w:val="24"/>
          <w:szCs w:val="24"/>
          <w:lang w:val="en-US"/>
        </w:rPr>
        <w:t>.2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932049" w:rsidRPr="00932049" w:rsidRDefault="00932049" w:rsidP="00932049">
      <w:pPr>
        <w:jc w:val="center"/>
        <w:rPr>
          <w:rFonts w:ascii="Trebuchet MS" w:hAnsi="Trebuchet MS"/>
          <w:sz w:val="36"/>
          <w:szCs w:val="36"/>
        </w:rPr>
      </w:pPr>
    </w:p>
    <w:p w:rsidR="006F520B" w:rsidRPr="000266ED" w:rsidRDefault="00932049" w:rsidP="00932049">
      <w:pPr>
        <w:spacing w:after="0"/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hAnsi="Trebuchet MS"/>
          <w:sz w:val="26"/>
          <w:szCs w:val="26"/>
        </w:rPr>
        <w:t xml:space="preserve">Обособена позиция № </w:t>
      </w:r>
      <w:r w:rsidR="000266ED" w:rsidRPr="000266ED">
        <w:rPr>
          <w:rFonts w:ascii="Trebuchet MS" w:hAnsi="Trebuchet MS"/>
          <w:sz w:val="26"/>
          <w:szCs w:val="26"/>
        </w:rPr>
        <w:t>2</w:t>
      </w:r>
      <w:r w:rsidRPr="00932049">
        <w:rPr>
          <w:rFonts w:ascii="Trebuchet MS" w:hAnsi="Trebuchet MS"/>
          <w:sz w:val="26"/>
          <w:szCs w:val="26"/>
        </w:rPr>
        <w:t xml:space="preserve">: </w:t>
      </w:r>
      <w:r w:rsidR="000266ED" w:rsidRPr="000266ED">
        <w:rPr>
          <w:rFonts w:ascii="Trebuchet MS" w:hAnsi="Trebuchet MS"/>
          <w:sz w:val="26"/>
          <w:szCs w:val="26"/>
        </w:rPr>
        <w:t>Доставка на терапевтично оборудване по технически спецификации</w:t>
      </w:r>
    </w:p>
    <w:p w:rsidR="00F57855" w:rsidRPr="00932049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0266ED" w:rsidRPr="000266ED" w:rsidRDefault="003522F9" w:rsidP="000266ED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C36AAC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C36AAC" w:rsidRPr="003522F9" w:rsidRDefault="00C36AAC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Предлагаме да доставим оборудването, съобразно съдържанието на Приложение № 1 към настоящото Предложение за изпълнение на поръчката</w:t>
      </w:r>
    </w:p>
    <w:p w:rsidR="003522F9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>Поемаме ангажимент да изпълним предмета на поръчката в сроковете</w:t>
      </w:r>
      <w:r w:rsidR="00932049">
        <w:rPr>
          <w:rFonts w:ascii="Trebuchet MS" w:hAnsi="Trebuchet MS"/>
          <w:sz w:val="24"/>
          <w:szCs w:val="24"/>
          <w:lang w:val="en-US"/>
        </w:rPr>
        <w:t xml:space="preserve">, </w:t>
      </w:r>
      <w:r w:rsidR="00932049">
        <w:rPr>
          <w:rFonts w:ascii="Trebuchet MS" w:hAnsi="Trebuchet MS"/>
          <w:sz w:val="24"/>
          <w:szCs w:val="24"/>
        </w:rPr>
        <w:t>определени от Възложителя и съобразно условията на договора</w:t>
      </w:r>
      <w:r w:rsidRPr="0092469E">
        <w:rPr>
          <w:rFonts w:ascii="Trebuchet MS" w:hAnsi="Trebuchet MS"/>
          <w:sz w:val="24"/>
          <w:szCs w:val="24"/>
        </w:rPr>
        <w:t>.</w:t>
      </w:r>
    </w:p>
    <w:p w:rsidR="00AB2667" w:rsidRDefault="00AB2667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633208">
        <w:rPr>
          <w:rFonts w:ascii="Trebuchet MS" w:hAnsi="Trebuchet MS"/>
          <w:sz w:val="24"/>
          <w:szCs w:val="24"/>
        </w:rPr>
        <w:t xml:space="preserve">Предлагаме да изпълним </w:t>
      </w:r>
      <w:r w:rsidR="00932049">
        <w:rPr>
          <w:rFonts w:ascii="Trebuchet MS" w:hAnsi="Trebuchet MS"/>
          <w:sz w:val="24"/>
          <w:szCs w:val="24"/>
        </w:rPr>
        <w:t>доставката</w:t>
      </w:r>
      <w:r w:rsidRPr="00633208">
        <w:rPr>
          <w:rFonts w:ascii="Trebuchet MS" w:hAnsi="Trebuchet MS"/>
          <w:sz w:val="24"/>
          <w:szCs w:val="24"/>
        </w:rPr>
        <w:t xml:space="preserve"> в срок от </w:t>
      </w:r>
      <w:r w:rsidR="00932049">
        <w:rPr>
          <w:rFonts w:ascii="Trebuchet MS" w:hAnsi="Trebuchet MS"/>
          <w:sz w:val="24"/>
          <w:szCs w:val="24"/>
        </w:rPr>
        <w:t>1</w:t>
      </w:r>
      <w:r w:rsidR="00633208" w:rsidRPr="00633208">
        <w:rPr>
          <w:rFonts w:ascii="Trebuchet MS" w:hAnsi="Trebuchet MS"/>
          <w:sz w:val="24"/>
          <w:szCs w:val="24"/>
        </w:rPr>
        <w:t xml:space="preserve"> </w:t>
      </w:r>
      <w:r w:rsidRPr="00633208">
        <w:rPr>
          <w:rFonts w:ascii="Trebuchet MS" w:hAnsi="Trebuchet MS"/>
          <w:sz w:val="24"/>
          <w:szCs w:val="24"/>
        </w:rPr>
        <w:t>(</w:t>
      </w:r>
      <w:r w:rsidR="00932049">
        <w:rPr>
          <w:rFonts w:ascii="Trebuchet MS" w:hAnsi="Trebuchet MS"/>
          <w:sz w:val="24"/>
          <w:szCs w:val="24"/>
        </w:rPr>
        <w:t>един</w:t>
      </w:r>
      <w:r w:rsidRPr="00633208">
        <w:rPr>
          <w:rFonts w:ascii="Trebuchet MS" w:hAnsi="Trebuchet MS"/>
          <w:sz w:val="24"/>
          <w:szCs w:val="24"/>
        </w:rPr>
        <w:t>) месец.</w:t>
      </w:r>
    </w:p>
    <w:p w:rsidR="00932049" w:rsidRPr="00633208" w:rsidRDefault="00932049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Приемаме поставените от Възложителя изисквания за продължителност гаранционния срок от 24 (двадесет и четири) месеца.</w:t>
      </w:r>
    </w:p>
    <w:p w:rsidR="000231EC" w:rsidRPr="009A7010" w:rsidRDefault="000231EC" w:rsidP="000231EC">
      <w:pPr>
        <w:pStyle w:val="NoSpacing"/>
        <w:jc w:val="both"/>
        <w:rPr>
          <w:rFonts w:ascii="Trebuchet MS" w:hAnsi="Trebuchet MS"/>
          <w:b/>
          <w:i/>
        </w:rPr>
      </w:pPr>
    </w:p>
    <w:p w:rsidR="000231EC" w:rsidRPr="000231EC" w:rsidRDefault="000231EC" w:rsidP="000231EC">
      <w:pPr>
        <w:pStyle w:val="NoSpacing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932049">
        <w:tc>
          <w:tcPr>
            <w:tcW w:w="2735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32049" w:rsidRDefault="00932049" w:rsidP="00932049">
      <w:pPr>
        <w:jc w:val="both"/>
        <w:rPr>
          <w:rFonts w:ascii="Trebuchet MS" w:hAnsi="Trebuchet MS"/>
        </w:rPr>
      </w:pPr>
      <w:r w:rsidRPr="00932049">
        <w:rPr>
          <w:rFonts w:ascii="Trebuchet MS" w:hAnsi="Trebuchet MS"/>
          <w:b/>
        </w:rPr>
        <w:lastRenderedPageBreak/>
        <w:t>Приложение № 1 към Предложение за изпълнение на обществена поръчка с предмет „</w:t>
      </w:r>
      <w:r w:rsidRPr="00932049">
        <w:rPr>
          <w:rFonts w:ascii="Trebuchet MS" w:hAnsi="Trebuchet MS"/>
        </w:rPr>
        <w:t xml:space="preserve">Доставка на спортна екипировка, фитнес и терапевтично оборудване по четири обособени позиции“, Обособена позиция № </w:t>
      </w:r>
      <w:r w:rsidR="00DC2B66">
        <w:rPr>
          <w:rFonts w:ascii="Trebuchet MS" w:hAnsi="Trebuchet MS"/>
          <w:lang w:val="en-US"/>
        </w:rPr>
        <w:t>2</w:t>
      </w:r>
      <w:r w:rsidRPr="00932049">
        <w:rPr>
          <w:rFonts w:ascii="Trebuchet MS" w:hAnsi="Trebuchet MS"/>
        </w:rPr>
        <w:t xml:space="preserve">: </w:t>
      </w:r>
      <w:r w:rsidR="00DC2B66" w:rsidRPr="00DC2B66">
        <w:rPr>
          <w:rFonts w:ascii="Trebuchet MS" w:hAnsi="Trebuchet MS"/>
        </w:rPr>
        <w:t>Доставка на терапевтично оборудване по технически спецификации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4818"/>
        <w:gridCol w:w="5102"/>
        <w:gridCol w:w="1525"/>
      </w:tblGrid>
      <w:tr w:rsidR="00932049" w:rsidRPr="000266ED" w:rsidTr="00C36AAC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0266ED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658" w:type="pct"/>
            <w:shd w:val="clear" w:color="auto" w:fill="1F497D" w:themeFill="text2"/>
            <w:vAlign w:val="center"/>
          </w:tcPr>
          <w:p w:rsidR="00932049" w:rsidRPr="000266ED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721" w:type="pct"/>
            <w:shd w:val="clear" w:color="auto" w:fill="1F497D" w:themeFill="text2"/>
            <w:vAlign w:val="center"/>
          </w:tcPr>
          <w:p w:rsidR="00932049" w:rsidRPr="000266ED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Изисквани характеристики от Възложителя</w:t>
            </w:r>
          </w:p>
        </w:tc>
        <w:tc>
          <w:tcPr>
            <w:tcW w:w="1823" w:type="pct"/>
            <w:shd w:val="clear" w:color="auto" w:fill="1F497D" w:themeFill="text2"/>
            <w:vAlign w:val="center"/>
          </w:tcPr>
          <w:p w:rsidR="00932049" w:rsidRPr="000266ED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Описание и характеристики на предлаганото за доставка оборудване</w:t>
            </w:r>
          </w:p>
        </w:tc>
        <w:tc>
          <w:tcPr>
            <w:tcW w:w="545" w:type="pct"/>
            <w:shd w:val="clear" w:color="auto" w:fill="1F497D" w:themeFill="text2"/>
            <w:noWrap/>
            <w:vAlign w:val="center"/>
          </w:tcPr>
          <w:p w:rsidR="00932049" w:rsidRPr="000266ED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0266ED" w:rsidRPr="000266ED" w:rsidTr="000266ED">
        <w:tc>
          <w:tcPr>
            <w:tcW w:w="252" w:type="pct"/>
            <w:vAlign w:val="center"/>
          </w:tcPr>
          <w:p w:rsidR="000266ED" w:rsidRPr="000266ED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Ултразвуково устройство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Честота - 1 </w:t>
            </w:r>
            <w:proofErr w:type="spellStart"/>
            <w:r w:rsidRPr="000266ED">
              <w:rPr>
                <w:rFonts w:ascii="Trebuchet MS" w:hAnsi="Trebuchet MS"/>
              </w:rPr>
              <w:t>MHz</w:t>
            </w:r>
            <w:proofErr w:type="spellEnd"/>
            <w:r w:rsidRPr="000266ED">
              <w:rPr>
                <w:rFonts w:ascii="Trebuchet MS" w:hAnsi="Trebuchet MS"/>
              </w:rPr>
              <w:t xml:space="preserve"> -3 </w:t>
            </w:r>
            <w:proofErr w:type="spellStart"/>
            <w:r w:rsidRPr="000266ED">
              <w:rPr>
                <w:rFonts w:ascii="Trebuchet MS" w:hAnsi="Trebuchet MS"/>
              </w:rPr>
              <w:t>MHz</w:t>
            </w:r>
            <w:proofErr w:type="spellEnd"/>
            <w:r w:rsidRPr="000266ED">
              <w:rPr>
                <w:rFonts w:ascii="Trebuchet MS" w:hAnsi="Trebuchet MS"/>
              </w:rPr>
              <w:t>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Ултразвукова мощност / в </w:t>
            </w:r>
            <w:bookmarkStart w:id="0" w:name="_GoBack"/>
            <w:bookmarkEnd w:id="0"/>
            <w:r w:rsidRPr="000266ED">
              <w:rPr>
                <w:rFonts w:ascii="Trebuchet MS" w:hAnsi="Trebuchet MS"/>
              </w:rPr>
              <w:t>пулсиращ режим - 0 -3 W / cm2 в непрекъснат режим - 0 -2 W / см2 /;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Вграден таймер;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Режим на работа: непрекъснати и променящ;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Честотна модулация  / 100 </w:t>
            </w:r>
            <w:proofErr w:type="spellStart"/>
            <w:r w:rsidRPr="000266ED">
              <w:rPr>
                <w:rFonts w:ascii="Trebuchet MS" w:hAnsi="Trebuchet MS"/>
              </w:rPr>
              <w:t>Hz</w:t>
            </w:r>
            <w:proofErr w:type="spellEnd"/>
            <w:r w:rsidRPr="000266ED">
              <w:rPr>
                <w:rFonts w:ascii="Trebuchet MS" w:hAnsi="Trebuchet MS"/>
              </w:rPr>
              <w:t xml:space="preserve"> с работен цикъл от 10%; 20% и 50%;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48 </w:t>
            </w:r>
            <w:proofErr w:type="spellStart"/>
            <w:r w:rsidRPr="000266ED">
              <w:rPr>
                <w:rFonts w:ascii="Trebuchet MS" w:hAnsi="Trebuchet MS"/>
              </w:rPr>
              <w:t>Hz</w:t>
            </w:r>
            <w:proofErr w:type="spellEnd"/>
            <w:r w:rsidRPr="000266ED">
              <w:rPr>
                <w:rFonts w:ascii="Trebuchet MS" w:hAnsi="Trebuchet MS"/>
              </w:rPr>
              <w:t xml:space="preserve">  с работен цикъл от 10%; 20%;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lastRenderedPageBreak/>
              <w:t xml:space="preserve">16 </w:t>
            </w:r>
            <w:proofErr w:type="spellStart"/>
            <w:r w:rsidRPr="000266ED">
              <w:rPr>
                <w:rFonts w:ascii="Trebuchet MS" w:hAnsi="Trebuchet MS"/>
              </w:rPr>
              <w:t>Hz</w:t>
            </w:r>
            <w:proofErr w:type="spellEnd"/>
            <w:r w:rsidRPr="000266ED">
              <w:rPr>
                <w:rFonts w:ascii="Trebuchet MS" w:hAnsi="Trebuchet MS"/>
              </w:rPr>
              <w:t xml:space="preserve">  с работен цикъл от 10%; 20%.</w:t>
            </w:r>
          </w:p>
        </w:tc>
        <w:tc>
          <w:tcPr>
            <w:tcW w:w="1823" w:type="pct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0266ED" w:rsidRPr="000266ED" w:rsidTr="000266ED">
        <w:tc>
          <w:tcPr>
            <w:tcW w:w="252" w:type="pct"/>
            <w:vAlign w:val="center"/>
          </w:tcPr>
          <w:p w:rsidR="000266ED" w:rsidRPr="000266ED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Устройство за магнитна терапия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Магнитен генератор с четири изхода, два от два зависими.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Време на лечение 60 мин.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Програмирани честоти (1 ÷ 100) </w:t>
            </w:r>
            <w:proofErr w:type="spellStart"/>
            <w:r w:rsidRPr="000266ED">
              <w:rPr>
                <w:rFonts w:ascii="Trebuchet MS" w:hAnsi="Trebuchet MS"/>
              </w:rPr>
              <w:t>Hz</w:t>
            </w:r>
            <w:proofErr w:type="spellEnd"/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Потребление – 900 VA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Вградени протоколи - 85</w:t>
            </w:r>
          </w:p>
          <w:p w:rsidR="000266ED" w:rsidRPr="000266ED" w:rsidRDefault="000266ED" w:rsidP="000266ED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</w:rPr>
              <w:t xml:space="preserve">максимална индукция от 100 </w:t>
            </w:r>
            <w:proofErr w:type="spellStart"/>
            <w:r w:rsidRPr="000266ED">
              <w:rPr>
                <w:rFonts w:ascii="Trebuchet MS" w:hAnsi="Trebuchet MS" w:cs="Arial"/>
                <w:shd w:val="clear" w:color="auto" w:fill="FFFFFF"/>
              </w:rPr>
              <w:t>гауса</w:t>
            </w:r>
            <w:proofErr w:type="spellEnd"/>
            <w:r w:rsidRPr="000266ED">
              <w:rPr>
                <w:rFonts w:ascii="Trebuchet MS" w:hAnsi="Trebuchet MS" w:cs="Arial"/>
                <w:shd w:val="clear" w:color="auto" w:fill="FFFFFF"/>
              </w:rPr>
              <w:t> </w:t>
            </w:r>
            <w:r w:rsidRPr="000266ED">
              <w:rPr>
                <w:rFonts w:ascii="Trebuchet MS" w:hAnsi="Trebuchet MS"/>
              </w:rPr>
              <w:t>; ± 20%.</w:t>
            </w:r>
          </w:p>
        </w:tc>
        <w:tc>
          <w:tcPr>
            <w:tcW w:w="1823" w:type="pct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0266ED" w:rsidRPr="000266ED" w:rsidTr="000266ED">
        <w:tc>
          <w:tcPr>
            <w:tcW w:w="252" w:type="pct"/>
            <w:vAlign w:val="center"/>
          </w:tcPr>
          <w:p w:rsidR="000266ED" w:rsidRPr="000266ED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Мобилна маса за съхранение на устройствата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От 2 до 3 рафта;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Материал – алуминий;</w:t>
            </w:r>
          </w:p>
          <w:p w:rsidR="000266ED" w:rsidRPr="000266ED" w:rsidRDefault="000266ED" w:rsidP="000266ED">
            <w:pPr>
              <w:spacing w:after="0"/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4 ъглови колела.</w:t>
            </w:r>
          </w:p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823" w:type="pct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0266ED" w:rsidRPr="000266ED" w:rsidTr="000266ED">
        <w:tc>
          <w:tcPr>
            <w:tcW w:w="252" w:type="pct"/>
            <w:vAlign w:val="center"/>
          </w:tcPr>
          <w:p w:rsidR="000266ED" w:rsidRPr="000266ED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Комбинирано устройство за електротерапия и диагностика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Шест вида </w:t>
            </w:r>
            <w:proofErr w:type="spellStart"/>
            <w:r w:rsidRPr="000266ED">
              <w:rPr>
                <w:rFonts w:ascii="Trebuchet MS" w:hAnsi="Trebuchet MS"/>
              </w:rPr>
              <w:t>диадинамични</w:t>
            </w:r>
            <w:proofErr w:type="spellEnd"/>
            <w:r w:rsidRPr="000266ED">
              <w:rPr>
                <w:rFonts w:ascii="Trebuchet MS" w:hAnsi="Trebuchet MS"/>
              </w:rPr>
              <w:t xml:space="preserve"> потока - MF, DF, CP, LP, RS, DS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Съставяне с последователност от 3 различни тока.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Автоматична промяна на Автоматична смяна на поляритета.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Правоъгълни, триъгълни и експоненциални </w:t>
            </w:r>
            <w:proofErr w:type="spellStart"/>
            <w:r w:rsidRPr="000266ED">
              <w:rPr>
                <w:rFonts w:ascii="Trebuchet MS" w:hAnsi="Trebuchet MS"/>
              </w:rPr>
              <w:t>монофазни</w:t>
            </w:r>
            <w:proofErr w:type="spellEnd"/>
            <w:r w:rsidRPr="000266ED">
              <w:rPr>
                <w:rFonts w:ascii="Trebuchet MS" w:hAnsi="Trebuchet MS"/>
              </w:rPr>
              <w:t xml:space="preserve"> импулси.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Широчина на импулса от 100</w:t>
            </w:r>
            <w:r w:rsidRPr="000266ED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0266ED">
              <w:rPr>
                <w:rFonts w:ascii="Trebuchet MS" w:hAnsi="Trebuchet MS"/>
                <w:lang w:val="en-US"/>
              </w:rPr>
              <w:t>uS</w:t>
            </w:r>
            <w:proofErr w:type="spellEnd"/>
            <w:r w:rsidRPr="000266ED">
              <w:rPr>
                <w:rFonts w:ascii="Trebuchet MS" w:hAnsi="Trebuchet MS"/>
              </w:rPr>
              <w:t xml:space="preserve"> до 1000 </w:t>
            </w:r>
            <w:proofErr w:type="spellStart"/>
            <w:r w:rsidRPr="000266ED">
              <w:rPr>
                <w:rFonts w:ascii="Trebuchet MS" w:hAnsi="Trebuchet MS"/>
                <w:lang w:val="en-US"/>
              </w:rPr>
              <w:t>ms</w:t>
            </w:r>
            <w:proofErr w:type="spellEnd"/>
            <w:r w:rsidRPr="000266ED">
              <w:rPr>
                <w:rFonts w:ascii="Trebuchet MS" w:hAnsi="Trebuchet MS"/>
              </w:rPr>
              <w:t xml:space="preserve">. 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Продължителност на паузата 100 u</w:t>
            </w:r>
            <w:r w:rsidRPr="000266ED">
              <w:rPr>
                <w:rFonts w:ascii="Trebuchet MS" w:hAnsi="Trebuchet MS"/>
                <w:lang w:val="en-US"/>
              </w:rPr>
              <w:t>S</w:t>
            </w:r>
            <w:r w:rsidRPr="000266ED">
              <w:rPr>
                <w:rFonts w:ascii="Trebuchet MS" w:hAnsi="Trebuchet MS"/>
              </w:rPr>
              <w:t xml:space="preserve"> за 10 сек.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lastRenderedPageBreak/>
              <w:t xml:space="preserve">TENS импулси с продължителност от  50 до 900 </w:t>
            </w:r>
            <w:proofErr w:type="spellStart"/>
            <w:r w:rsidRPr="000266ED">
              <w:rPr>
                <w:rFonts w:ascii="Trebuchet MS" w:hAnsi="Trebuchet MS"/>
              </w:rPr>
              <w:t>uS</w:t>
            </w:r>
            <w:proofErr w:type="spellEnd"/>
            <w:r w:rsidRPr="000266ED">
              <w:rPr>
                <w:rFonts w:ascii="Trebuchet MS" w:hAnsi="Trebuchet MS"/>
              </w:rPr>
              <w:t xml:space="preserve">. 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>Честота от 1 до 500 импулса в сек.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/>
              </w:rPr>
              <w:t xml:space="preserve">Ток на </w:t>
            </w:r>
            <w:proofErr w:type="spellStart"/>
            <w:r w:rsidRPr="000266ED">
              <w:rPr>
                <w:rFonts w:ascii="Trebuchet MS" w:hAnsi="Trebuchet MS"/>
              </w:rPr>
              <w:t>Треберт</w:t>
            </w:r>
            <w:proofErr w:type="spellEnd"/>
            <w:r w:rsidRPr="000266ED">
              <w:rPr>
                <w:rFonts w:ascii="Trebuchet MS" w:hAnsi="Trebuchet MS"/>
              </w:rPr>
              <w:t>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r w:rsidRPr="000266ED">
              <w:rPr>
                <w:rFonts w:ascii="Trebuchet MS" w:hAnsi="Trebuchet MS" w:cs="Arial"/>
                <w:shd w:val="clear" w:color="auto" w:fill="FFFFFF"/>
              </w:rPr>
              <w:t>Средночестотни </w:t>
            </w:r>
            <w:r w:rsidRPr="000266ED">
              <w:rPr>
                <w:rFonts w:ascii="Trebuchet MS" w:hAnsi="Trebuchet MS"/>
              </w:rPr>
              <w:t>токове.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proofErr w:type="spellStart"/>
            <w:r w:rsidRPr="000266ED">
              <w:rPr>
                <w:rFonts w:ascii="Trebuchet MS" w:hAnsi="Trebuchet MS"/>
              </w:rPr>
              <w:t>Фарадични</w:t>
            </w:r>
            <w:proofErr w:type="spellEnd"/>
            <w:r w:rsidRPr="000266ED">
              <w:rPr>
                <w:rFonts w:ascii="Trebuchet MS" w:hAnsi="Trebuchet MS"/>
              </w:rPr>
              <w:t xml:space="preserve"> токове.</w:t>
            </w:r>
          </w:p>
          <w:p w:rsidR="000266ED" w:rsidRPr="000266ED" w:rsidRDefault="000266ED" w:rsidP="000266ED">
            <w:pPr>
              <w:rPr>
                <w:rFonts w:ascii="Trebuchet MS" w:hAnsi="Trebuchet MS"/>
              </w:rPr>
            </w:pPr>
            <w:proofErr w:type="spellStart"/>
            <w:r w:rsidRPr="000266ED">
              <w:rPr>
                <w:rFonts w:ascii="Trebuchet MS" w:hAnsi="Trebuchet MS"/>
              </w:rPr>
              <w:t>Неофарадични</w:t>
            </w:r>
            <w:proofErr w:type="spellEnd"/>
            <w:r w:rsidRPr="000266ED">
              <w:rPr>
                <w:rFonts w:ascii="Trebuchet MS" w:hAnsi="Trebuchet MS"/>
              </w:rPr>
              <w:t xml:space="preserve"> токове.</w:t>
            </w:r>
          </w:p>
          <w:p w:rsidR="000266ED" w:rsidRPr="000266ED" w:rsidRDefault="000266ED" w:rsidP="000266ED">
            <w:pPr>
              <w:spacing w:before="60" w:after="60"/>
              <w:rPr>
                <w:rFonts w:ascii="Trebuchet MS" w:hAnsi="Trebuchet MS"/>
              </w:rPr>
            </w:pPr>
            <w:proofErr w:type="spellStart"/>
            <w:r w:rsidRPr="000266ED">
              <w:rPr>
                <w:rFonts w:ascii="Trebuchet MS" w:hAnsi="Trebuchet MS"/>
              </w:rPr>
              <w:t>Електродиагностика</w:t>
            </w:r>
            <w:proofErr w:type="spellEnd"/>
            <w:r w:rsidRPr="000266ED">
              <w:rPr>
                <w:rFonts w:ascii="Trebuchet MS" w:hAnsi="Trebuchet MS"/>
              </w:rPr>
              <w:t xml:space="preserve"> с правоъгълни и триъгълни импулси. Снемане на I/T крива и автоматично определяне на </w:t>
            </w:r>
            <w:proofErr w:type="spellStart"/>
            <w:r w:rsidRPr="000266ED">
              <w:rPr>
                <w:rFonts w:ascii="Trebuchet MS" w:hAnsi="Trebuchet MS"/>
              </w:rPr>
              <w:t>реобаза</w:t>
            </w:r>
            <w:proofErr w:type="spellEnd"/>
            <w:r w:rsidRPr="000266ED">
              <w:rPr>
                <w:rFonts w:ascii="Trebuchet MS" w:hAnsi="Trebuchet MS"/>
              </w:rPr>
              <w:t xml:space="preserve"> и </w:t>
            </w:r>
            <w:proofErr w:type="spellStart"/>
            <w:r w:rsidRPr="000266ED">
              <w:rPr>
                <w:rFonts w:ascii="Trebuchet MS" w:hAnsi="Trebuchet MS"/>
              </w:rPr>
              <w:t>хронаксия</w:t>
            </w:r>
            <w:proofErr w:type="spellEnd"/>
          </w:p>
        </w:tc>
        <w:tc>
          <w:tcPr>
            <w:tcW w:w="1823" w:type="pct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0266ED" w:rsidRPr="000266ED" w:rsidTr="000266ED">
        <w:tc>
          <w:tcPr>
            <w:tcW w:w="252" w:type="pct"/>
            <w:vAlign w:val="center"/>
          </w:tcPr>
          <w:p w:rsidR="000266ED" w:rsidRPr="000266ED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Устройство за активно мобилизиране на раменната става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266ED" w:rsidRPr="000266ED" w:rsidRDefault="000266ED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</w:rPr>
              <w:t>Професионално устройство с LSD монитор за активно мобилизиране на ставите на раменете.</w:t>
            </w:r>
          </w:p>
        </w:tc>
        <w:tc>
          <w:tcPr>
            <w:tcW w:w="1823" w:type="pct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0266ED" w:rsidRPr="000266ED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</w:tbl>
    <w:p w:rsidR="00C36AAC" w:rsidRPr="00932049" w:rsidRDefault="00C36AAC" w:rsidP="00932049">
      <w:pPr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99" w:rsidRDefault="008E6199" w:rsidP="0076086E">
      <w:pPr>
        <w:spacing w:after="0" w:line="240" w:lineRule="auto"/>
      </w:pPr>
      <w:r>
        <w:separator/>
      </w:r>
    </w:p>
  </w:endnote>
  <w:endnote w:type="continuationSeparator" w:id="0">
    <w:p w:rsidR="008E6199" w:rsidRDefault="008E6199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99" w:rsidRDefault="008E6199" w:rsidP="0076086E">
      <w:pPr>
        <w:spacing w:after="0" w:line="240" w:lineRule="auto"/>
      </w:pPr>
      <w:r>
        <w:separator/>
      </w:r>
    </w:p>
  </w:footnote>
  <w:footnote w:type="continuationSeparator" w:id="0">
    <w:p w:rsidR="008E6199" w:rsidRDefault="008E6199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DC2B66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8E6199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DC2B66">
          <w:rPr>
            <w:rFonts w:ascii="Trebuchet MS" w:hAnsi="Trebuchet MS"/>
            <w:noProof/>
          </w:rPr>
          <w:t>7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8E6199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DC2B66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266ED"/>
    <w:rsid w:val="00043ABA"/>
    <w:rsid w:val="00046DCF"/>
    <w:rsid w:val="0007211A"/>
    <w:rsid w:val="0009295A"/>
    <w:rsid w:val="00092B2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37A5F"/>
    <w:rsid w:val="003522F9"/>
    <w:rsid w:val="00373A6D"/>
    <w:rsid w:val="003B5165"/>
    <w:rsid w:val="003D5341"/>
    <w:rsid w:val="003D655C"/>
    <w:rsid w:val="004377CF"/>
    <w:rsid w:val="00441206"/>
    <w:rsid w:val="0045113D"/>
    <w:rsid w:val="00487B72"/>
    <w:rsid w:val="00490CF5"/>
    <w:rsid w:val="004A7B47"/>
    <w:rsid w:val="004F32C3"/>
    <w:rsid w:val="004F7BFE"/>
    <w:rsid w:val="005303B6"/>
    <w:rsid w:val="005432F1"/>
    <w:rsid w:val="00564D58"/>
    <w:rsid w:val="00633208"/>
    <w:rsid w:val="006C1513"/>
    <w:rsid w:val="006C7AE2"/>
    <w:rsid w:val="006F520B"/>
    <w:rsid w:val="00721697"/>
    <w:rsid w:val="00730154"/>
    <w:rsid w:val="007501A9"/>
    <w:rsid w:val="0076086E"/>
    <w:rsid w:val="007B7118"/>
    <w:rsid w:val="007E644A"/>
    <w:rsid w:val="00844CBB"/>
    <w:rsid w:val="0085436E"/>
    <w:rsid w:val="00884039"/>
    <w:rsid w:val="0089791B"/>
    <w:rsid w:val="008A2207"/>
    <w:rsid w:val="008E4339"/>
    <w:rsid w:val="008E6199"/>
    <w:rsid w:val="0092469E"/>
    <w:rsid w:val="00932049"/>
    <w:rsid w:val="00952F71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A342A"/>
    <w:rsid w:val="00DA7AB8"/>
    <w:rsid w:val="00DC2B66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1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C3C-0996-470D-B453-B8ED4B3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2018-03-08T09:35:00Z</dcterms:created>
  <dcterms:modified xsi:type="dcterms:W3CDTF">2018-03-08T09:41:00Z</dcterms:modified>
</cp:coreProperties>
</file>